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708" w:firstLineChars="147"/>
        <w:jc w:val="center"/>
        <w:rPr>
          <w:rFonts w:ascii="宋体" w:hAnsi="宋体" w:cs="宋体"/>
          <w:b/>
          <w:sz w:val="48"/>
          <w:szCs w:val="48"/>
        </w:rPr>
      </w:pPr>
      <w:bookmarkStart w:id="72" w:name="_GoBack"/>
      <w:bookmarkEnd w:id="72"/>
      <w:r>
        <w:rPr>
          <w:rFonts w:hint="eastAsia" w:ascii="宋体" w:hAnsi="宋体" w:cs="宋体"/>
          <w:b/>
          <w:sz w:val="48"/>
          <w:szCs w:val="48"/>
        </w:rPr>
        <w:t xml:space="preserve"> </w:t>
      </w:r>
    </w:p>
    <w:p>
      <w:pPr>
        <w:spacing w:line="900" w:lineRule="exact"/>
        <w:jc w:val="center"/>
        <w:rPr>
          <w:rFonts w:ascii="宋体" w:hAnsi="宋体" w:cs="宋体"/>
          <w:b/>
          <w:sz w:val="48"/>
          <w:szCs w:val="48"/>
        </w:rPr>
      </w:pPr>
      <w:r>
        <w:rPr>
          <w:rFonts w:hint="eastAsia" w:ascii="宋体" w:hAnsi="宋体" w:cs="宋体"/>
          <w:b/>
          <w:sz w:val="48"/>
          <w:szCs w:val="48"/>
        </w:rPr>
        <w:t>荔湾区上九路88号等四处物业整改加固工程初步设计（含概算）项目</w:t>
      </w:r>
    </w:p>
    <w:p>
      <w:pPr>
        <w:spacing w:line="900" w:lineRule="exact"/>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center"/>
        <w:rPr>
          <w:rFonts w:ascii="宋体" w:hAnsi="宋体" w:cs="宋体"/>
          <w:b/>
          <w:bCs/>
          <w:spacing w:val="26"/>
          <w:sz w:val="96"/>
          <w:szCs w:val="110"/>
          <w14:shadow w14:blurRad="50800" w14:dist="38100" w14:dir="2700000" w14:sx="100000" w14:sy="100000" w14:kx="0" w14:ky="0" w14:algn="tl">
            <w14:srgbClr w14:val="000000">
              <w14:alpha w14:val="60000"/>
            </w14:srgbClr>
          </w14:shadow>
        </w:rPr>
      </w:pPr>
      <w:r>
        <w:rPr>
          <w:rFonts w:hint="eastAsia" w:ascii="宋体" w:hAnsi="宋体" w:cs="宋体"/>
          <w:b/>
          <w:bCs/>
          <w:spacing w:val="26"/>
          <w:sz w:val="96"/>
          <w:szCs w:val="110"/>
          <w14:shadow w14:blurRad="50800" w14:dist="38100" w14:dir="2700000" w14:sx="100000" w14:sy="100000" w14:kx="0" w14:ky="0" w14:algn="tl">
            <w14:srgbClr w14:val="000000">
              <w14:alpha w14:val="60000"/>
            </w14:srgbClr>
          </w14:shadow>
        </w:rPr>
        <w:t>采购文件</w:t>
      </w: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both"/>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both"/>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pStyle w:val="2"/>
      </w:pPr>
    </w:p>
    <w:p>
      <w:pPr>
        <w:widowControl w:val="0"/>
        <w:wordWrap w:val="0"/>
        <w:jc w:val="center"/>
        <w:rPr>
          <w:rFonts w:ascii="宋体" w:hAnsi="宋体" w:cs="宋体"/>
          <w:bCs/>
          <w:spacing w:val="26"/>
          <w:sz w:val="44"/>
          <w:szCs w:val="44"/>
          <w:u w:val="single"/>
          <w14:shadow w14:blurRad="50800" w14:dist="38100" w14:dir="2700000" w14:sx="100000" w14:sy="100000" w14:kx="0" w14:ky="0" w14:algn="tl">
            <w14:srgbClr w14:val="000000">
              <w14:alpha w14:val="60000"/>
            </w14:srgbClr>
          </w14:shadow>
        </w:rPr>
      </w:pPr>
    </w:p>
    <w:p>
      <w:pPr>
        <w:spacing w:line="360" w:lineRule="auto"/>
        <w:ind w:firstLine="1684" w:firstLineChars="559"/>
        <w:rPr>
          <w:rFonts w:ascii="宋体" w:hAnsi="宋体" w:cs="宋体"/>
          <w:bCs/>
          <w:sz w:val="30"/>
          <w:szCs w:val="30"/>
        </w:rPr>
      </w:pPr>
      <w:r>
        <w:rPr>
          <w:rFonts w:hint="eastAsia" w:ascii="宋体" w:hAnsi="宋体" w:cs="宋体"/>
          <w:b/>
          <w:sz w:val="30"/>
          <w:szCs w:val="30"/>
        </w:rPr>
        <w:t>采   购   人：</w:t>
      </w:r>
      <w:r>
        <w:rPr>
          <w:rFonts w:hint="eastAsia" w:ascii="宋体" w:hAnsi="宋体" w:cs="宋体"/>
          <w:bCs/>
          <w:sz w:val="30"/>
          <w:szCs w:val="30"/>
        </w:rPr>
        <w:t>广州国有资产管理集团有限公司</w:t>
      </w:r>
    </w:p>
    <w:p>
      <w:pPr>
        <w:spacing w:line="360" w:lineRule="auto"/>
        <w:ind w:firstLine="1684" w:firstLineChars="559"/>
        <w:rPr>
          <w:rFonts w:ascii="宋体" w:hAnsi="宋体" w:cs="宋体"/>
          <w:bCs/>
          <w:sz w:val="30"/>
          <w:szCs w:val="30"/>
        </w:rPr>
      </w:pPr>
      <w:r>
        <w:rPr>
          <w:rFonts w:hint="eastAsia" w:ascii="宋体" w:hAnsi="宋体" w:cs="宋体"/>
          <w:b/>
          <w:sz w:val="30"/>
          <w:szCs w:val="30"/>
        </w:rPr>
        <w:t>采购代理机构：</w:t>
      </w:r>
      <w:r>
        <w:rPr>
          <w:rFonts w:hint="eastAsia" w:ascii="宋体" w:hAnsi="宋体" w:cs="宋体"/>
          <w:bCs/>
          <w:sz w:val="30"/>
          <w:szCs w:val="30"/>
        </w:rPr>
        <w:t>广州市国际工程咨询有限公司</w:t>
      </w:r>
    </w:p>
    <w:p>
      <w:pPr>
        <w:spacing w:line="360" w:lineRule="auto"/>
        <w:ind w:firstLine="3824" w:firstLineChars="1195"/>
        <w:rPr>
          <w:rFonts w:ascii="宋体" w:hAnsi="宋体" w:cs="宋体"/>
          <w:bCs/>
          <w:sz w:val="32"/>
          <w:szCs w:val="32"/>
        </w:rPr>
      </w:pPr>
      <w:r>
        <w:rPr>
          <w:rFonts w:hint="eastAsia" w:ascii="宋体" w:hAnsi="宋体" w:cs="宋体"/>
          <w:bCs/>
          <w:sz w:val="32"/>
          <w:szCs w:val="32"/>
        </w:rPr>
        <w:t>二〇二四年三月</w:t>
      </w:r>
    </w:p>
    <w:p>
      <w:pPr>
        <w:pStyle w:val="2"/>
      </w:pPr>
    </w:p>
    <w:p>
      <w:pPr>
        <w:spacing w:line="360" w:lineRule="auto"/>
        <w:ind w:firstLine="3824" w:firstLineChars="1195"/>
        <w:rPr>
          <w:rFonts w:ascii="宋体" w:hAnsi="宋体" w:cs="宋体"/>
          <w:bCs/>
          <w:sz w:val="32"/>
          <w:szCs w:val="32"/>
        </w:rPr>
        <w:sectPr>
          <w:footerReference r:id="rId3" w:type="default"/>
          <w:pgSz w:w="11906" w:h="16838"/>
          <w:pgMar w:top="1247" w:right="1418" w:bottom="1247" w:left="1418" w:header="708" w:footer="708" w:gutter="0"/>
          <w:cols w:space="720" w:num="1"/>
          <w:docGrid w:linePitch="360" w:charSpace="0"/>
        </w:sectPr>
      </w:pPr>
    </w:p>
    <w:p>
      <w:pPr>
        <w:spacing w:line="360" w:lineRule="auto"/>
        <w:ind w:firstLine="3824" w:firstLineChars="1195"/>
        <w:rPr>
          <w:rFonts w:ascii="宋体" w:hAnsi="宋体" w:cs="宋体"/>
          <w:bCs/>
          <w:sz w:val="32"/>
          <w:szCs w:val="32"/>
        </w:rPr>
      </w:pPr>
      <w:r>
        <w:rPr>
          <w:rFonts w:hint="eastAsia" w:ascii="宋体" w:hAnsi="宋体" w:cs="宋体"/>
          <w:bCs/>
          <w:sz w:val="32"/>
          <w:szCs w:val="32"/>
        </w:rPr>
        <w:t>目录</w:t>
      </w:r>
    </w:p>
    <w:p>
      <w:pPr>
        <w:pStyle w:val="27"/>
        <w:tabs>
          <w:tab w:val="right" w:leader="dot" w:pos="9070"/>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"_Toc24247" </w:instrText>
      </w:r>
      <w:r>
        <w:fldChar w:fldCharType="separate"/>
      </w:r>
      <w:r>
        <w:rPr>
          <w:rFonts w:hint="eastAsia" w:ascii="宋体" w:hAnsi="宋体" w:cs="宋体"/>
          <w:sz w:val="24"/>
          <w:szCs w:val="24"/>
        </w:rPr>
        <w:t>采购公告</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"_Toc24640" </w:instrText>
      </w:r>
      <w:r>
        <w:fldChar w:fldCharType="separate"/>
      </w:r>
      <w:r>
        <w:rPr>
          <w:rFonts w:hint="eastAsia" w:ascii="宋体" w:hAnsi="宋体" w:cs="宋体"/>
          <w:bCs/>
          <w:sz w:val="24"/>
          <w:szCs w:val="24"/>
        </w:rPr>
        <w:t>一、供应商须知一览表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_Toc24640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"_Toc15020" </w:instrText>
      </w:r>
      <w:r>
        <w:fldChar w:fldCharType="separate"/>
      </w:r>
      <w:r>
        <w:rPr>
          <w:rFonts w:hint="eastAsia" w:ascii="宋体" w:hAnsi="宋体" w:cs="宋体"/>
          <w:sz w:val="24"/>
          <w:szCs w:val="24"/>
        </w:rPr>
        <w:t>二、评审原则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_Toc15020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"_Toc29247" </w:instrText>
      </w:r>
      <w:r>
        <w:fldChar w:fldCharType="separate"/>
      </w:r>
      <w:r>
        <w:rPr>
          <w:rFonts w:hint="eastAsia" w:ascii="宋体" w:hAnsi="宋体" w:cs="宋体"/>
          <w:sz w:val="24"/>
          <w:szCs w:val="24"/>
        </w:rPr>
        <w:t>三、响应文件编制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_Toc29247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"_Toc2866" </w:instrText>
      </w:r>
      <w:r>
        <w:fldChar w:fldCharType="separate"/>
      </w:r>
      <w:r>
        <w:rPr>
          <w:rFonts w:hint="eastAsia" w:ascii="宋体" w:hAnsi="宋体" w:cs="宋体"/>
          <w:sz w:val="24"/>
          <w:szCs w:val="24"/>
        </w:rPr>
        <w:t>四、响应文件的递交及截止时间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_Toc2866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"_Toc1226" </w:instrText>
      </w:r>
      <w:r>
        <w:fldChar w:fldCharType="separate"/>
      </w:r>
      <w:r>
        <w:rPr>
          <w:rFonts w:hint="eastAsia" w:ascii="宋体" w:hAnsi="宋体" w:cs="宋体"/>
          <w:sz w:val="24"/>
          <w:szCs w:val="24"/>
        </w:rPr>
        <w:t>五、响应文件的更改与撤回</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_Toc1226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"_Toc93" </w:instrText>
      </w:r>
      <w:r>
        <w:fldChar w:fldCharType="separate"/>
      </w:r>
      <w:r>
        <w:rPr>
          <w:rFonts w:hint="eastAsia" w:ascii="宋体" w:hAnsi="宋体" w:cs="宋体"/>
          <w:sz w:val="24"/>
          <w:szCs w:val="24"/>
        </w:rPr>
        <w:t>六、采购文件的澄清</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_Toc93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"_Toc29571" </w:instrText>
      </w:r>
      <w:r>
        <w:fldChar w:fldCharType="separate"/>
      </w:r>
      <w:r>
        <w:rPr>
          <w:rFonts w:hint="eastAsia" w:ascii="宋体" w:hAnsi="宋体" w:cs="宋体"/>
          <w:sz w:val="24"/>
          <w:szCs w:val="24"/>
        </w:rPr>
        <w:t>七、接受和拒绝接受供应商递交响应文件的权力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_Toc29571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"_Toc19363" </w:instrText>
      </w:r>
      <w:r>
        <w:fldChar w:fldCharType="separate"/>
      </w:r>
      <w:r>
        <w:rPr>
          <w:rFonts w:hint="eastAsia" w:ascii="宋体" w:hAnsi="宋体" w:cs="宋体"/>
          <w:sz w:val="24"/>
          <w:szCs w:val="24"/>
        </w:rPr>
        <w:t>八、中选通知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_Toc19363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"_Toc17658" </w:instrText>
      </w:r>
      <w:r>
        <w:fldChar w:fldCharType="separate"/>
      </w:r>
      <w:r>
        <w:rPr>
          <w:rFonts w:hint="eastAsia" w:ascii="宋体" w:hAnsi="宋体" w:cs="宋体"/>
          <w:sz w:val="24"/>
          <w:szCs w:val="24"/>
        </w:rPr>
        <w:t>九、服务合同的签署</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_Toc17658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"_Toc20608" </w:instrText>
      </w:r>
      <w:r>
        <w:fldChar w:fldCharType="separate"/>
      </w:r>
      <w:r>
        <w:rPr>
          <w:rFonts w:hint="eastAsia" w:ascii="宋体" w:hAnsi="宋体" w:cs="宋体"/>
          <w:sz w:val="24"/>
          <w:szCs w:val="24"/>
        </w:rPr>
        <w:t>十、保密条款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_Toc20608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"_Toc4416" </w:instrText>
      </w:r>
      <w:r>
        <w:fldChar w:fldCharType="separate"/>
      </w:r>
      <w:r>
        <w:rPr>
          <w:rFonts w:hint="eastAsia" w:ascii="宋体" w:hAnsi="宋体" w:cs="宋体"/>
          <w:sz w:val="24"/>
          <w:szCs w:val="24"/>
        </w:rPr>
        <w:t>十一、其他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_Toc4416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"_Toc5658" </w:instrText>
      </w:r>
      <w:r>
        <w:fldChar w:fldCharType="separate"/>
      </w:r>
      <w:r>
        <w:rPr>
          <w:rFonts w:hint="eastAsia" w:ascii="宋体" w:hAnsi="宋体" w:cs="宋体"/>
          <w:sz w:val="24"/>
          <w:szCs w:val="24"/>
        </w:rPr>
        <w:t>附件一：资格审查表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_Toc5658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"_Toc2758" </w:instrText>
      </w:r>
      <w:r>
        <w:fldChar w:fldCharType="separate"/>
      </w:r>
      <w:r>
        <w:rPr>
          <w:rFonts w:hint="eastAsia" w:ascii="宋体" w:hAnsi="宋体" w:cs="宋体"/>
          <w:sz w:val="24"/>
          <w:szCs w:val="24"/>
        </w:rPr>
        <w:t>附件二：综合评分表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_Toc2758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"_Toc11702" </w:instrText>
      </w:r>
      <w:r>
        <w:fldChar w:fldCharType="separate"/>
      </w:r>
      <w:r>
        <w:rPr>
          <w:rFonts w:hint="eastAsia" w:ascii="宋体" w:hAnsi="宋体" w:cs="宋体"/>
          <w:sz w:val="24"/>
          <w:szCs w:val="24"/>
        </w:rPr>
        <w:t>附件三：服务合同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_Toc11702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"_Toc21311" </w:instrText>
      </w:r>
      <w:r>
        <w:fldChar w:fldCharType="separate"/>
      </w:r>
      <w:r>
        <w:rPr>
          <w:rFonts w:hint="eastAsia" w:ascii="宋体" w:hAnsi="宋体" w:cs="宋体"/>
          <w:sz w:val="24"/>
          <w:szCs w:val="24"/>
        </w:rPr>
        <w:t>附件四：用户需求书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_Toc21311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27"/>
        <w:tabs>
          <w:tab w:val="right" w:leader="dot" w:pos="9070"/>
        </w:tabs>
        <w:spacing w:line="360" w:lineRule="auto"/>
        <w:rPr>
          <w:rFonts w:ascii="宋体" w:hAnsi="宋体" w:cs="宋体"/>
          <w:sz w:val="24"/>
          <w:szCs w:val="24"/>
        </w:rPr>
      </w:pPr>
      <w:r>
        <w:fldChar w:fldCharType="begin"/>
      </w:r>
      <w:r>
        <w:instrText xml:space="preserve"> HYPERLINK \l "_Toc17418" </w:instrText>
      </w:r>
      <w:r>
        <w:fldChar w:fldCharType="separate"/>
      </w:r>
      <w:r>
        <w:rPr>
          <w:rFonts w:hint="eastAsia" w:ascii="宋体" w:hAnsi="宋体" w:cs="宋体"/>
          <w:sz w:val="24"/>
          <w:szCs w:val="24"/>
        </w:rPr>
        <w:t>附件五  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_Toc17418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2"/>
        <w:rPr>
          <w:rFonts w:ascii="宋体" w:hAnsi="宋体" w:eastAsia="宋体" w:cs="宋体"/>
        </w:rPr>
      </w:pPr>
      <w:r>
        <w:rPr>
          <w:rFonts w:hint="eastAsia" w:ascii="宋体" w:hAnsi="宋体" w:eastAsia="宋体" w:cs="宋体"/>
          <w:sz w:val="24"/>
          <w:szCs w:val="24"/>
        </w:rPr>
        <w:fldChar w:fldCharType="end"/>
      </w:r>
    </w:p>
    <w:p>
      <w:pPr>
        <w:spacing w:before="20" w:after="20" w:line="360" w:lineRule="auto"/>
        <w:jc w:val="center"/>
        <w:rPr>
          <w:rFonts w:ascii="宋体" w:hAnsi="宋体" w:cs="宋体"/>
          <w:b/>
          <w:snapToGrid w:val="0"/>
          <w:sz w:val="30"/>
          <w:szCs w:val="30"/>
        </w:rPr>
        <w:sectPr>
          <w:footerReference r:id="rId4" w:type="default"/>
          <w:pgSz w:w="11906" w:h="16838"/>
          <w:pgMar w:top="1247" w:right="1418" w:bottom="1247" w:left="1418" w:header="708" w:footer="708" w:gutter="0"/>
          <w:pgNumType w:start="1"/>
          <w:cols w:space="720" w:num="1"/>
          <w:docGrid w:linePitch="360" w:charSpace="0"/>
        </w:sectPr>
      </w:pPr>
    </w:p>
    <w:p>
      <w:pPr>
        <w:spacing w:before="20" w:after="20" w:line="360" w:lineRule="auto"/>
        <w:jc w:val="center"/>
        <w:rPr>
          <w:rFonts w:ascii="宋体" w:hAnsi="宋体" w:cs="宋体"/>
          <w:b/>
          <w:sz w:val="36"/>
          <w:szCs w:val="36"/>
        </w:rPr>
      </w:pPr>
      <w:r>
        <w:rPr>
          <w:rFonts w:hint="eastAsia" w:ascii="宋体" w:hAnsi="宋体" w:cs="宋体"/>
          <w:b/>
          <w:snapToGrid w:val="0"/>
          <w:sz w:val="30"/>
          <w:szCs w:val="30"/>
        </w:rPr>
        <w:t>荔湾区上九路88号等四处物业整改加固工程初步设计（含概算）项目采购公告</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广州市国际工程咨询有限公司（以下简称“采购代理机构”）受广州国有资产管理集团有限公司（以下简称“采购人”）的委托，就以下项目进行公开采购，欢迎合格的供应商参加。有关事项公告如下：</w:t>
      </w:r>
    </w:p>
    <w:p>
      <w:pPr>
        <w:pStyle w:val="13"/>
        <w:snapToGrid w:val="0"/>
        <w:spacing w:line="360" w:lineRule="auto"/>
        <w:ind w:left="0" w:firstLine="482" w:firstLineChars="200"/>
        <w:rPr>
          <w:rFonts w:ascii="宋体" w:hAnsi="宋体" w:eastAsia="宋体" w:cs="宋体"/>
          <w:b/>
          <w:sz w:val="24"/>
          <w:szCs w:val="24"/>
        </w:rPr>
      </w:pPr>
      <w:r>
        <w:rPr>
          <w:rFonts w:hint="eastAsia" w:ascii="宋体" w:hAnsi="宋体" w:eastAsia="宋体" w:cs="宋体"/>
          <w:b/>
          <w:sz w:val="24"/>
          <w:szCs w:val="24"/>
        </w:rPr>
        <w:t>一、采购项目简介</w:t>
      </w:r>
    </w:p>
    <w:p>
      <w:pPr>
        <w:spacing w:line="360" w:lineRule="auto"/>
        <w:ind w:firstLine="480" w:firstLineChars="200"/>
        <w:rPr>
          <w:rFonts w:ascii="宋体" w:hAnsi="宋体" w:cs="宋体"/>
          <w:highlight w:val="yellow"/>
        </w:rPr>
      </w:pPr>
      <w:r>
        <w:rPr>
          <w:rFonts w:hint="eastAsia" w:ascii="宋体" w:hAnsi="宋体" w:cs="宋体"/>
        </w:rPr>
        <w:t>（一）项目编号：</w:t>
      </w:r>
      <w:r>
        <w:fldChar w:fldCharType="begin"/>
      </w:r>
      <w:r>
        <w:instrText xml:space="preserve"> HYPERLINK "http://192.168.1.201:4343/vproject/base/projectview.jsp?id=4028e5e58d73d5eb018e06f4c6e05074&amp;formid=402881e60c85ac00010c8647c12d0051" \t "http://192.168.1.201:4343/ServiceAction/_blank" </w:instrText>
      </w:r>
      <w:r>
        <w:fldChar w:fldCharType="separate"/>
      </w:r>
      <w:r>
        <w:rPr>
          <w:rStyle w:val="38"/>
          <w:rFonts w:ascii="宋体" w:hAnsi="宋体" w:cs="宋体"/>
          <w:color w:val="173B85"/>
        </w:rPr>
        <w:t>BA-B24015.0</w:t>
      </w:r>
      <w:r>
        <w:rPr>
          <w:rStyle w:val="38"/>
          <w:rFonts w:ascii="宋体" w:hAnsi="宋体" w:cs="宋体"/>
          <w:color w:val="173B85"/>
        </w:rPr>
        <w:fldChar w:fldCharType="end"/>
      </w:r>
    </w:p>
    <w:p>
      <w:pPr>
        <w:spacing w:line="360" w:lineRule="auto"/>
        <w:ind w:firstLine="480" w:firstLineChars="200"/>
        <w:rPr>
          <w:rFonts w:ascii="宋体" w:hAnsi="宋体" w:cs="宋体"/>
        </w:rPr>
      </w:pPr>
      <w:r>
        <w:rPr>
          <w:rFonts w:hint="eastAsia" w:ascii="宋体" w:hAnsi="宋体" w:cs="宋体"/>
        </w:rPr>
        <w:t>（二）项目名称：荔湾区上九路88号等四处物业整改加固工程初步设计（含概算）项目</w:t>
      </w:r>
    </w:p>
    <w:p>
      <w:pPr>
        <w:spacing w:line="360" w:lineRule="auto"/>
        <w:ind w:firstLine="480" w:firstLineChars="200"/>
        <w:rPr>
          <w:rFonts w:hint="eastAsia" w:ascii="宋体" w:hAnsi="宋体" w:cs="宋体"/>
        </w:rPr>
      </w:pPr>
      <w:r>
        <w:rPr>
          <w:rFonts w:hint="eastAsia" w:ascii="宋体" w:hAnsi="宋体" w:cs="宋体"/>
        </w:rPr>
        <w:t>（三）采购人：广州国有资产管理集团有限公司</w:t>
      </w:r>
    </w:p>
    <w:p>
      <w:pPr>
        <w:spacing w:line="360" w:lineRule="auto"/>
        <w:ind w:firstLine="480" w:firstLineChars="200"/>
        <w:rPr>
          <w:rFonts w:ascii="宋体" w:hAnsi="宋体" w:cs="宋体"/>
        </w:rPr>
      </w:pPr>
      <w:r>
        <w:rPr>
          <w:rFonts w:hint="eastAsia" w:ascii="宋体" w:hAnsi="宋体" w:cs="宋体"/>
        </w:rPr>
        <w:t>（</w:t>
      </w:r>
      <w:r>
        <w:rPr>
          <w:rFonts w:hint="default" w:ascii="宋体" w:hAnsi="宋体" w:cs="宋体"/>
          <w:lang w:val="en-US"/>
        </w:rPr>
        <w:t>四</w:t>
      </w:r>
      <w:r>
        <w:rPr>
          <w:rFonts w:hint="eastAsia" w:ascii="宋体" w:hAnsi="宋体" w:cs="宋体"/>
        </w:rPr>
        <w:t>）项目内容及需求情况（采购项目技术规格、参数及要求）</w:t>
      </w:r>
    </w:p>
    <w:p>
      <w:pPr>
        <w:widowControl w:val="0"/>
        <w:spacing w:line="360" w:lineRule="auto"/>
        <w:ind w:firstLine="357"/>
        <w:jc w:val="both"/>
        <w:rPr>
          <w:rFonts w:ascii="宋体" w:hAnsi="宋体" w:cs="宋体"/>
          <w:kern w:val="2"/>
        </w:rPr>
      </w:pPr>
      <w:r>
        <w:rPr>
          <w:rFonts w:hint="eastAsia" w:ascii="宋体" w:hAnsi="宋体" w:cs="宋体"/>
        </w:rPr>
        <w:t>荔湾区上九路88号、荔湾区下九路114号、越秀区长堤大马路358、360、362、364号以及越秀区人民南路230号等四处物业（以下简称四处物业），面积合计3,329.95㎡，四处物业房屋可靠性鉴定等级基本为Ⅳ级（最低级别），大部分不满足A类建筑抗震鉴定要求。本项目供应商须根据《房屋可靠性及抗震性鉴定报告》（广东省院鉴字〔2023〕0070/0071/0072/0073），对以上四处物业进行整改加固初步设计，</w:t>
      </w:r>
      <w:r>
        <w:rPr>
          <w:rFonts w:hint="eastAsia" w:ascii="宋体" w:hAnsi="宋体" w:cs="宋体"/>
          <w:kern w:val="2"/>
        </w:rPr>
        <w:t>包括但不限于对项目进行现场勘查、结构鉴定补充检查（根据实际需要或采购人要求）、初步设计、编制概算及制作验收标准等。</w:t>
      </w:r>
    </w:p>
    <w:tbl>
      <w:tblPr>
        <w:tblStyle w:val="3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
        <w:gridCol w:w="2459"/>
        <w:gridCol w:w="1244"/>
        <w:gridCol w:w="1595"/>
        <w:gridCol w:w="20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vAlign w:val="center"/>
          </w:tcPr>
          <w:p>
            <w:pPr>
              <w:jc w:val="center"/>
              <w:rPr>
                <w:rFonts w:ascii="宋体" w:hAnsi="宋体" w:cs="宋体"/>
              </w:rPr>
            </w:pPr>
            <w:r>
              <w:rPr>
                <w:rFonts w:hint="eastAsia" w:ascii="宋体" w:hAnsi="宋体" w:cs="宋体"/>
              </w:rPr>
              <w:t>采购包</w:t>
            </w:r>
          </w:p>
        </w:tc>
        <w:tc>
          <w:tcPr>
            <w:tcW w:w="2459" w:type="dxa"/>
            <w:vAlign w:val="center"/>
          </w:tcPr>
          <w:p>
            <w:pPr>
              <w:jc w:val="center"/>
              <w:rPr>
                <w:rFonts w:ascii="宋体" w:hAnsi="宋体" w:cs="宋体"/>
              </w:rPr>
            </w:pPr>
            <w:r>
              <w:rPr>
                <w:rFonts w:hint="eastAsia" w:ascii="宋体" w:hAnsi="宋体" w:cs="宋体"/>
              </w:rPr>
              <w:t>项目名称</w:t>
            </w:r>
          </w:p>
        </w:tc>
        <w:tc>
          <w:tcPr>
            <w:tcW w:w="1244" w:type="dxa"/>
            <w:vAlign w:val="center"/>
          </w:tcPr>
          <w:p>
            <w:pPr>
              <w:jc w:val="center"/>
              <w:rPr>
                <w:rFonts w:ascii="宋体" w:hAnsi="宋体" w:cs="宋体"/>
              </w:rPr>
            </w:pPr>
            <w:r>
              <w:rPr>
                <w:rFonts w:hint="eastAsia" w:ascii="宋体" w:hAnsi="宋体" w:cs="宋体"/>
              </w:rPr>
              <w:t>最高限价（含税）</w:t>
            </w:r>
          </w:p>
        </w:tc>
        <w:tc>
          <w:tcPr>
            <w:tcW w:w="1595" w:type="dxa"/>
            <w:vAlign w:val="center"/>
          </w:tcPr>
          <w:p>
            <w:pPr>
              <w:jc w:val="center"/>
              <w:rPr>
                <w:rFonts w:ascii="宋体" w:hAnsi="宋体" w:cs="宋体"/>
              </w:rPr>
            </w:pPr>
            <w:r>
              <w:rPr>
                <w:rFonts w:hint="eastAsia" w:ascii="宋体" w:hAnsi="宋体" w:cs="宋体"/>
              </w:rPr>
              <w:t>技术规格、参数及要求</w:t>
            </w:r>
          </w:p>
        </w:tc>
        <w:tc>
          <w:tcPr>
            <w:tcW w:w="2015" w:type="dxa"/>
            <w:vAlign w:val="center"/>
          </w:tcPr>
          <w:p>
            <w:pPr>
              <w:jc w:val="center"/>
              <w:rPr>
                <w:rFonts w:ascii="宋体" w:hAnsi="宋体" w:cs="宋体"/>
              </w:rPr>
            </w:pPr>
            <w:r>
              <w:rPr>
                <w:rFonts w:hint="eastAsia" w:ascii="宋体" w:hAnsi="宋体" w:cs="宋体"/>
              </w:rPr>
              <w:t>服务期限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993" w:type="dxa"/>
            <w:vAlign w:val="center"/>
          </w:tcPr>
          <w:p>
            <w:pPr>
              <w:jc w:val="center"/>
              <w:rPr>
                <w:rFonts w:ascii="宋体" w:hAnsi="宋体" w:cs="宋体"/>
              </w:rPr>
            </w:pPr>
            <w:r>
              <w:rPr>
                <w:rFonts w:hint="eastAsia" w:ascii="宋体" w:hAnsi="宋体" w:cs="宋体"/>
              </w:rPr>
              <w:t>1</w:t>
            </w:r>
          </w:p>
        </w:tc>
        <w:tc>
          <w:tcPr>
            <w:tcW w:w="2459" w:type="dxa"/>
            <w:vAlign w:val="center"/>
          </w:tcPr>
          <w:p>
            <w:pPr>
              <w:jc w:val="both"/>
              <w:rPr>
                <w:rFonts w:ascii="宋体" w:hAnsi="宋体" w:cs="宋体"/>
              </w:rPr>
            </w:pPr>
            <w:r>
              <w:rPr>
                <w:rFonts w:hint="eastAsia" w:ascii="宋体" w:hAnsi="宋体" w:cs="宋体"/>
              </w:rPr>
              <w:t>荔湾区上九路88号等四处物业整改加固工程初步设计（含概算）项目</w:t>
            </w:r>
          </w:p>
        </w:tc>
        <w:tc>
          <w:tcPr>
            <w:tcW w:w="1244" w:type="dxa"/>
            <w:vAlign w:val="center"/>
          </w:tcPr>
          <w:p>
            <w:pPr>
              <w:jc w:val="center"/>
              <w:rPr>
                <w:rFonts w:ascii="宋体" w:hAnsi="宋体" w:cs="宋体"/>
              </w:rPr>
            </w:pPr>
            <w:r>
              <w:rPr>
                <w:rFonts w:hint="eastAsia" w:ascii="宋体" w:hAnsi="宋体" w:cs="宋体"/>
              </w:rPr>
              <w:t>16.2万元</w:t>
            </w:r>
          </w:p>
        </w:tc>
        <w:tc>
          <w:tcPr>
            <w:tcW w:w="1595" w:type="dxa"/>
            <w:vAlign w:val="center"/>
          </w:tcPr>
          <w:p>
            <w:pPr>
              <w:jc w:val="center"/>
              <w:rPr>
                <w:rFonts w:ascii="宋体" w:hAnsi="宋体" w:cs="宋体"/>
              </w:rPr>
            </w:pPr>
            <w:r>
              <w:rPr>
                <w:rFonts w:hint="eastAsia" w:ascii="宋体" w:hAnsi="宋体" w:cs="宋体"/>
              </w:rPr>
              <w:t>详见采购文件用户需求书</w:t>
            </w:r>
          </w:p>
        </w:tc>
        <w:tc>
          <w:tcPr>
            <w:tcW w:w="2015" w:type="dxa"/>
            <w:vAlign w:val="center"/>
          </w:tcPr>
          <w:p>
            <w:pPr>
              <w:jc w:val="center"/>
              <w:rPr>
                <w:rFonts w:ascii="宋体" w:hAnsi="宋体" w:cs="宋体"/>
              </w:rPr>
            </w:pPr>
            <w:r>
              <w:rPr>
                <w:rFonts w:hint="eastAsia" w:ascii="宋体" w:hAnsi="宋体" w:cs="宋体"/>
              </w:rPr>
              <w:t>供应商应按照签订的服务合同约定的期限完成全部工作。</w:t>
            </w:r>
          </w:p>
        </w:tc>
      </w:tr>
    </w:tbl>
    <w:p>
      <w:pPr>
        <w:spacing w:line="360" w:lineRule="auto"/>
        <w:rPr>
          <w:rFonts w:ascii="宋体" w:hAnsi="宋体" w:cs="宋体"/>
        </w:rPr>
      </w:pPr>
    </w:p>
    <w:p>
      <w:pPr>
        <w:spacing w:line="360" w:lineRule="auto"/>
        <w:ind w:firstLine="482" w:firstLineChars="200"/>
        <w:rPr>
          <w:rFonts w:ascii="宋体" w:hAnsi="宋体" w:cs="宋体"/>
          <w:b/>
        </w:rPr>
      </w:pPr>
      <w:r>
        <w:rPr>
          <w:rFonts w:hint="eastAsia" w:ascii="宋体" w:hAnsi="宋体" w:cs="宋体"/>
          <w:b/>
        </w:rPr>
        <w:t>二、</w:t>
      </w:r>
      <w:r>
        <w:rPr>
          <w:rFonts w:hint="eastAsia" w:ascii="宋体" w:hAnsi="宋体" w:cs="宋体"/>
        </w:rPr>
        <w:t>★</w:t>
      </w:r>
      <w:r>
        <w:rPr>
          <w:rFonts w:hint="eastAsia" w:ascii="宋体" w:hAnsi="宋体" w:cs="宋体"/>
          <w:b/>
        </w:rPr>
        <w:t>供应商资格要求</w:t>
      </w:r>
    </w:p>
    <w:p>
      <w:pPr>
        <w:spacing w:line="360" w:lineRule="auto"/>
        <w:ind w:left="420"/>
        <w:rPr>
          <w:rFonts w:ascii="宋体" w:hAnsi="宋体" w:cs="宋体"/>
        </w:rPr>
      </w:pPr>
      <w:r>
        <w:rPr>
          <w:rFonts w:hint="eastAsia" w:ascii="宋体" w:hAnsi="宋体" w:cs="宋体"/>
        </w:rPr>
        <w:t>（一）供应商具有独立法人资格，持有工商行政管理部门核发的法人营业执照，按国家法律经营；</w:t>
      </w:r>
    </w:p>
    <w:p>
      <w:pPr>
        <w:spacing w:line="360" w:lineRule="auto"/>
        <w:ind w:left="420"/>
        <w:rPr>
          <w:rFonts w:ascii="宋体" w:hAnsi="宋体" w:cs="宋体"/>
        </w:rPr>
      </w:pPr>
      <w:r>
        <w:rPr>
          <w:rFonts w:hint="eastAsia" w:ascii="宋体" w:hAnsi="宋体" w:cs="宋体"/>
        </w:rPr>
        <w:t>（二）供应商未在“信用中国”网站（https://www.creditchina.gov.cn/）中被列入失信被执行人名单，未在国家企业信用信息公示系统（https://www.gsxt.gov.cn/）中被列入严重违法失信企业名单；</w:t>
      </w:r>
    </w:p>
    <w:p>
      <w:pPr>
        <w:spacing w:line="360" w:lineRule="auto"/>
        <w:ind w:left="420"/>
        <w:rPr>
          <w:rFonts w:ascii="宋体" w:hAnsi="宋体" w:cs="宋体"/>
        </w:rPr>
      </w:pPr>
      <w:r>
        <w:rPr>
          <w:rFonts w:hint="eastAsia" w:ascii="宋体" w:hAnsi="宋体" w:cs="宋体"/>
        </w:rPr>
        <w:t>（三）</w:t>
      </w:r>
      <w:r>
        <w:rPr>
          <w:rFonts w:ascii="宋体" w:hAnsi="宋体" w:cs="宋体"/>
        </w:rPr>
        <w:t>供应商具有建设行政主管部门颁发的且现行有效的工程设计综合甲级资质，或工程设计（建筑行业）</w:t>
      </w:r>
      <w:r>
        <w:rPr>
          <w:rFonts w:hint="eastAsia" w:ascii="宋体" w:hAnsi="宋体" w:cs="宋体"/>
        </w:rPr>
        <w:t>甲级资质。</w:t>
      </w:r>
    </w:p>
    <w:p>
      <w:pPr>
        <w:spacing w:line="360" w:lineRule="auto"/>
        <w:ind w:left="420"/>
        <w:rPr>
          <w:rFonts w:ascii="宋体" w:hAnsi="宋体" w:cs="宋体"/>
        </w:rPr>
      </w:pPr>
      <w:r>
        <w:rPr>
          <w:rFonts w:hint="eastAsia" w:ascii="宋体" w:hAnsi="宋体" w:cs="宋体"/>
        </w:rPr>
        <w:t>（四）供应商已按照规定格式和内容签署盖章《申请人声明》（格式见附件五格式3）；</w:t>
      </w:r>
    </w:p>
    <w:p>
      <w:pPr>
        <w:pStyle w:val="13"/>
        <w:snapToGrid w:val="0"/>
        <w:spacing w:before="156" w:beforeLines="50" w:line="360" w:lineRule="auto"/>
        <w:ind w:left="0" w:firstLine="482" w:firstLineChars="200"/>
        <w:rPr>
          <w:rFonts w:ascii="宋体" w:hAnsi="宋体" w:eastAsia="宋体" w:cs="宋体"/>
          <w:b/>
          <w:sz w:val="24"/>
          <w:szCs w:val="24"/>
        </w:rPr>
      </w:pPr>
      <w:r>
        <w:rPr>
          <w:rFonts w:hint="eastAsia" w:ascii="宋体" w:hAnsi="宋体" w:eastAsia="宋体" w:cs="宋体"/>
          <w:b/>
          <w:sz w:val="24"/>
          <w:szCs w:val="24"/>
        </w:rPr>
        <w:t>三、本项目不接受联合体参与报价</w:t>
      </w:r>
    </w:p>
    <w:p>
      <w:pPr>
        <w:pStyle w:val="13"/>
        <w:snapToGrid w:val="0"/>
        <w:spacing w:before="156" w:beforeLines="50" w:line="360" w:lineRule="auto"/>
        <w:ind w:left="0" w:firstLine="482" w:firstLineChars="200"/>
        <w:rPr>
          <w:rFonts w:ascii="宋体" w:hAnsi="宋体" w:eastAsia="宋体" w:cs="宋体"/>
          <w:b/>
          <w:sz w:val="24"/>
          <w:szCs w:val="24"/>
        </w:rPr>
      </w:pPr>
      <w:r>
        <w:rPr>
          <w:rFonts w:hint="eastAsia" w:ascii="宋体" w:hAnsi="宋体" w:eastAsia="宋体" w:cs="宋体"/>
          <w:b/>
          <w:sz w:val="24"/>
          <w:szCs w:val="24"/>
        </w:rPr>
        <w:t>四、供应商必须对项目进行整体报价，不允许仅对其中部分内容进行报价</w:t>
      </w:r>
    </w:p>
    <w:p>
      <w:pPr>
        <w:pStyle w:val="13"/>
        <w:snapToGrid w:val="0"/>
        <w:spacing w:before="156" w:beforeLines="50" w:line="360" w:lineRule="auto"/>
        <w:ind w:left="0" w:firstLine="482" w:firstLineChars="200"/>
        <w:rPr>
          <w:rFonts w:ascii="宋体" w:hAnsi="宋体" w:eastAsia="宋体" w:cs="宋体"/>
          <w:b/>
          <w:sz w:val="24"/>
          <w:szCs w:val="24"/>
        </w:rPr>
      </w:pPr>
      <w:r>
        <w:rPr>
          <w:rFonts w:hint="eastAsia" w:ascii="宋体" w:hAnsi="宋体" w:eastAsia="宋体" w:cs="宋体"/>
          <w:b/>
          <w:sz w:val="24"/>
          <w:szCs w:val="24"/>
        </w:rPr>
        <w:t>五、获取采购文件的方式、时间</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获取采购文件方式：在线获取。（详见采购公告附件）</w:t>
      </w:r>
    </w:p>
    <w:p>
      <w:pPr>
        <w:pStyle w:val="13"/>
        <w:snapToGrid w:val="0"/>
        <w:spacing w:before="156" w:beforeLines="50"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六、采购公告公示</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本公告于广州市国际工程咨询有限公司及广州国企阳光采购信息发布平台发布，时间：2024年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日至2024年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3"/>
        <w:snapToGrid w:val="0"/>
        <w:spacing w:before="156" w:beforeLines="50"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七、响应文件递交截止时间、响应文件开启时间及地点</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（一）递交响应文件时间</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 xml:space="preserve"> </w:t>
      </w:r>
      <w:r>
        <w:rPr>
          <w:rFonts w:hint="eastAsia" w:ascii="宋体" w:hAnsi="宋体" w:eastAsia="宋体" w:cs="宋体"/>
          <w:sz w:val="24"/>
          <w:szCs w:val="24"/>
        </w:rPr>
        <w:t>日9时00分至2024年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 xml:space="preserve"> </w:t>
      </w:r>
      <w:r>
        <w:rPr>
          <w:rFonts w:hint="eastAsia" w:ascii="宋体" w:hAnsi="宋体" w:eastAsia="宋体" w:cs="宋体"/>
          <w:sz w:val="24"/>
          <w:szCs w:val="24"/>
        </w:rPr>
        <w:t>日9时30分（北京时间）</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（二）递交截止及响应文件开启时间</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 xml:space="preserve"> </w:t>
      </w:r>
      <w:r>
        <w:rPr>
          <w:rFonts w:hint="eastAsia" w:ascii="宋体" w:hAnsi="宋体" w:eastAsia="宋体" w:cs="宋体"/>
          <w:sz w:val="24"/>
          <w:szCs w:val="24"/>
        </w:rPr>
        <w:t>日9时30分（北京时间）</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（三）递交响应文件地点及响应文件开启地点</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广州市越秀区寺右新马路111号五羊新城广场9楼第一会议室</w:t>
      </w:r>
    </w:p>
    <w:p>
      <w:pPr>
        <w:pStyle w:val="13"/>
        <w:snapToGrid w:val="0"/>
        <w:spacing w:line="360" w:lineRule="auto"/>
        <w:ind w:left="0" w:firstLine="482" w:firstLineChars="200"/>
        <w:rPr>
          <w:rFonts w:ascii="宋体" w:hAnsi="宋体" w:eastAsia="宋体" w:cs="宋体"/>
          <w:sz w:val="24"/>
          <w:szCs w:val="24"/>
        </w:rPr>
      </w:pPr>
      <w:r>
        <w:rPr>
          <w:rFonts w:hint="eastAsia" w:ascii="宋体" w:hAnsi="宋体" w:eastAsia="宋体" w:cs="宋体"/>
          <w:b/>
          <w:bCs/>
          <w:sz w:val="24"/>
          <w:szCs w:val="24"/>
        </w:rPr>
        <w:t>备注：供应商响应文件可以采用邮寄的形式递交，请在响应文件递交截止时间前邮寄至广州市国际工程咨询有限公司（地址：广州市寺右新马路111号五羊新城广场8楼821），响应文件递交截止时间后收到的响应文件或未按要求包装的，采购人或采购代理不予接收。</w:t>
      </w:r>
    </w:p>
    <w:p>
      <w:pPr>
        <w:pStyle w:val="13"/>
        <w:snapToGrid w:val="0"/>
        <w:spacing w:line="360" w:lineRule="auto"/>
        <w:ind w:left="0" w:firstLine="482" w:firstLineChars="200"/>
        <w:rPr>
          <w:rFonts w:ascii="宋体" w:hAnsi="宋体" w:eastAsia="宋体" w:cs="宋体"/>
          <w:sz w:val="24"/>
          <w:szCs w:val="24"/>
        </w:rPr>
      </w:pPr>
      <w:r>
        <w:rPr>
          <w:rFonts w:hint="eastAsia" w:ascii="宋体" w:hAnsi="宋体" w:eastAsia="宋体" w:cs="宋体"/>
          <w:b/>
          <w:sz w:val="24"/>
          <w:szCs w:val="24"/>
        </w:rPr>
        <w:t>八、采购人、采购代理机构的名称、地址和联系方式</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（一）采购人</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采购人：广州国有资产管理集团有限公司</w:t>
      </w:r>
    </w:p>
    <w:p>
      <w:pPr>
        <w:pStyle w:val="13"/>
        <w:snapToGrid w:val="0"/>
        <w:spacing w:line="360" w:lineRule="auto"/>
        <w:ind w:left="0" w:firstLine="480" w:firstLineChars="200"/>
        <w:rPr>
          <w:rFonts w:ascii="宋体" w:hAnsi="宋体" w:eastAsia="宋体" w:cs="宋体"/>
          <w:sz w:val="24"/>
          <w:szCs w:val="24"/>
        </w:rPr>
      </w:pPr>
      <w:bookmarkStart w:id="0" w:name="OLE_LINK3"/>
      <w:r>
        <w:rPr>
          <w:rFonts w:hint="eastAsia" w:ascii="宋体" w:hAnsi="宋体" w:eastAsia="宋体" w:cs="宋体"/>
          <w:sz w:val="24"/>
          <w:szCs w:val="24"/>
        </w:rPr>
        <w:t>联 系 人：洪经理</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联系电话：0</w:t>
      </w:r>
      <w:r>
        <w:rPr>
          <w:rFonts w:ascii="宋体" w:hAnsi="宋体" w:eastAsia="宋体" w:cs="宋体"/>
          <w:sz w:val="24"/>
          <w:szCs w:val="24"/>
        </w:rPr>
        <w:t>20-83124391</w:t>
      </w:r>
    </w:p>
    <w:bookmarkEnd w:id="0"/>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（二）采购代理机构</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名称：广州市国际工程咨询有限公司</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地址：广州市寺右新马路111号五羊新城广场</w:t>
      </w:r>
      <w:r>
        <w:rPr>
          <w:rFonts w:hint="eastAsia" w:ascii="宋体" w:hAnsi="宋体" w:eastAsia="宋体" w:cs="宋体"/>
          <w:b/>
          <w:bCs/>
          <w:sz w:val="24"/>
          <w:szCs w:val="24"/>
        </w:rPr>
        <w:t>8楼</w:t>
      </w:r>
      <w:r>
        <w:rPr>
          <w:rFonts w:hint="eastAsia" w:ascii="宋体" w:hAnsi="宋体" w:eastAsia="宋体" w:cs="宋体"/>
          <w:sz w:val="24"/>
          <w:szCs w:val="24"/>
        </w:rPr>
        <w:t xml:space="preserve">821 </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联系人：方工、刘工</w:t>
      </w:r>
    </w:p>
    <w:p>
      <w:pPr>
        <w:pStyle w:val="13"/>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联系电话：020-87386919-532</w:t>
      </w:r>
    </w:p>
    <w:p>
      <w:pPr>
        <w:pStyle w:val="13"/>
        <w:snapToGrid w:val="0"/>
        <w:spacing w:line="360" w:lineRule="auto"/>
        <w:ind w:left="0" w:firstLine="480" w:firstLineChars="200"/>
        <w:rPr>
          <w:snapToGrid w:val="0"/>
        </w:rPr>
      </w:pPr>
      <w:r>
        <w:rPr>
          <w:rFonts w:hint="eastAsia" w:ascii="宋体" w:hAnsi="宋体" w:eastAsia="宋体" w:cs="宋体"/>
          <w:sz w:val="24"/>
          <w:szCs w:val="24"/>
        </w:rPr>
        <w:t>网址：</w:t>
      </w:r>
      <w:r>
        <w:fldChar w:fldCharType="begin"/>
      </w:r>
      <w:r>
        <w:instrText xml:space="preserve"> HYPERLINK "http://www.giecc.com.cn" </w:instrText>
      </w:r>
      <w:r>
        <w:fldChar w:fldCharType="separate"/>
      </w:r>
      <w:r>
        <w:rPr>
          <w:rFonts w:hint="eastAsia" w:ascii="宋体" w:hAnsi="宋体" w:eastAsia="宋体" w:cs="宋体"/>
          <w:sz w:val="24"/>
          <w:szCs w:val="24"/>
        </w:rPr>
        <w:t>http://www.giecc.com.cn</w:t>
      </w:r>
      <w:r>
        <w:rPr>
          <w:rFonts w:hint="eastAsia" w:ascii="宋体" w:hAnsi="宋体" w:eastAsia="宋体" w:cs="宋体"/>
          <w:sz w:val="24"/>
          <w:szCs w:val="24"/>
        </w:rPr>
        <w:fldChar w:fldCharType="end"/>
      </w:r>
      <w:r>
        <w:rPr>
          <w:rFonts w:hint="eastAsia"/>
          <w:snapToGrid w:val="0"/>
        </w:rPr>
        <w:br w:type="page"/>
      </w:r>
      <w:bookmarkStart w:id="1" w:name="_Toc51933475"/>
      <w:bookmarkStart w:id="2" w:name="_Toc5180"/>
      <w:bookmarkStart w:id="3" w:name="_Toc51932489"/>
      <w:bookmarkStart w:id="4" w:name="_Toc24935"/>
      <w:bookmarkStart w:id="5" w:name="_Toc24640"/>
    </w:p>
    <w:p>
      <w:pPr>
        <w:pStyle w:val="4"/>
        <w:widowControl w:val="0"/>
        <w:wordWrap w:val="0"/>
        <w:spacing w:after="0"/>
        <w:rPr>
          <w:rFonts w:ascii="宋体" w:hAnsi="宋体" w:cs="宋体"/>
        </w:rPr>
      </w:pPr>
      <w:r>
        <w:rPr>
          <w:rFonts w:hint="eastAsia" w:ascii="宋体" w:hAnsi="宋体" w:cs="宋体"/>
        </w:rPr>
        <w:t>一、供应商须知一览表</w:t>
      </w:r>
      <w:bookmarkEnd w:id="1"/>
      <w:bookmarkEnd w:id="2"/>
      <w:bookmarkEnd w:id="3"/>
      <w:bookmarkEnd w:id="4"/>
      <w:bookmarkEnd w:id="5"/>
    </w:p>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5"/>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63" w:type="pct"/>
            <w:vAlign w:val="center"/>
          </w:tcPr>
          <w:p>
            <w:pPr>
              <w:spacing w:line="360" w:lineRule="auto"/>
              <w:jc w:val="center"/>
              <w:rPr>
                <w:rFonts w:ascii="宋体" w:hAnsi="宋体" w:cs="宋体"/>
              </w:rPr>
            </w:pPr>
            <w:bookmarkStart w:id="6" w:name="_Toc224619331"/>
            <w:bookmarkStart w:id="7" w:name="_Toc215028877"/>
            <w:r>
              <w:rPr>
                <w:rFonts w:hint="eastAsia" w:ascii="宋体" w:hAnsi="宋体" w:cs="宋体"/>
              </w:rPr>
              <w:t>序号</w:t>
            </w:r>
            <w:bookmarkEnd w:id="6"/>
            <w:bookmarkEnd w:id="7"/>
          </w:p>
        </w:tc>
        <w:tc>
          <w:tcPr>
            <w:tcW w:w="1499" w:type="pct"/>
            <w:vAlign w:val="center"/>
          </w:tcPr>
          <w:p>
            <w:pPr>
              <w:spacing w:line="360" w:lineRule="auto"/>
              <w:jc w:val="center"/>
              <w:rPr>
                <w:rFonts w:ascii="宋体" w:hAnsi="宋体" w:cs="宋体"/>
              </w:rPr>
            </w:pPr>
            <w:bookmarkStart w:id="8" w:name="_Toc215028878"/>
            <w:bookmarkStart w:id="9" w:name="_Toc224619332"/>
            <w:r>
              <w:rPr>
                <w:rFonts w:hint="eastAsia" w:ascii="宋体" w:hAnsi="宋体" w:cs="宋体"/>
              </w:rPr>
              <w:t>条 款 名 称</w:t>
            </w:r>
            <w:bookmarkEnd w:id="8"/>
            <w:bookmarkEnd w:id="9"/>
          </w:p>
        </w:tc>
        <w:tc>
          <w:tcPr>
            <w:tcW w:w="3038" w:type="pct"/>
            <w:vAlign w:val="center"/>
          </w:tcPr>
          <w:p>
            <w:pPr>
              <w:spacing w:line="360" w:lineRule="auto"/>
              <w:jc w:val="center"/>
              <w:rPr>
                <w:rFonts w:ascii="宋体" w:hAnsi="宋体" w:cs="宋体"/>
              </w:rPr>
            </w:pPr>
            <w:bookmarkStart w:id="10" w:name="_Toc224619333"/>
            <w:bookmarkStart w:id="11" w:name="_Toc215028879"/>
            <w:r>
              <w:rPr>
                <w:rFonts w:hint="eastAsia" w:ascii="宋体" w:hAnsi="宋体" w:cs="宋体"/>
              </w:rPr>
              <w:t>编 列 内 容</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63" w:type="pct"/>
            <w:vAlign w:val="center"/>
          </w:tcPr>
          <w:p>
            <w:pPr>
              <w:spacing w:line="360" w:lineRule="auto"/>
              <w:jc w:val="center"/>
              <w:rPr>
                <w:rFonts w:ascii="宋体" w:hAnsi="宋体" w:cs="宋体"/>
                <w:bCs/>
              </w:rPr>
            </w:pPr>
            <w:r>
              <w:rPr>
                <w:rFonts w:hint="eastAsia" w:ascii="宋体" w:hAnsi="宋体" w:cs="宋体"/>
                <w:bCs/>
              </w:rPr>
              <w:t>1</w:t>
            </w:r>
          </w:p>
        </w:tc>
        <w:tc>
          <w:tcPr>
            <w:tcW w:w="1499" w:type="pct"/>
            <w:vAlign w:val="center"/>
          </w:tcPr>
          <w:p>
            <w:pPr>
              <w:spacing w:line="360" w:lineRule="auto"/>
              <w:jc w:val="center"/>
              <w:rPr>
                <w:rFonts w:ascii="宋体" w:hAnsi="宋体" w:cs="宋体"/>
              </w:rPr>
            </w:pPr>
            <w:r>
              <w:rPr>
                <w:rFonts w:hint="eastAsia" w:ascii="宋体" w:hAnsi="宋体" w:cs="宋体"/>
              </w:rPr>
              <w:t>采购人</w:t>
            </w:r>
          </w:p>
        </w:tc>
        <w:tc>
          <w:tcPr>
            <w:tcW w:w="3038" w:type="pct"/>
            <w:vAlign w:val="center"/>
          </w:tcPr>
          <w:p>
            <w:pPr>
              <w:spacing w:line="360" w:lineRule="auto"/>
              <w:rPr>
                <w:rFonts w:ascii="宋体" w:hAnsi="宋体" w:cs="宋体"/>
              </w:rPr>
            </w:pPr>
            <w:r>
              <w:rPr>
                <w:rFonts w:hint="eastAsia" w:ascii="宋体" w:hAnsi="宋体" w:cs="宋体"/>
              </w:rPr>
              <w:t>广州国有资产管理集团有限公司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63" w:type="pct"/>
            <w:vAlign w:val="center"/>
          </w:tcPr>
          <w:p>
            <w:pPr>
              <w:spacing w:line="360" w:lineRule="auto"/>
              <w:jc w:val="center"/>
              <w:rPr>
                <w:rFonts w:ascii="宋体" w:hAnsi="宋体" w:cs="宋体"/>
              </w:rPr>
            </w:pPr>
            <w:r>
              <w:rPr>
                <w:rFonts w:hint="eastAsia" w:ascii="宋体" w:hAnsi="宋体" w:cs="宋体"/>
              </w:rPr>
              <w:t>2</w:t>
            </w:r>
          </w:p>
        </w:tc>
        <w:tc>
          <w:tcPr>
            <w:tcW w:w="1499" w:type="pct"/>
            <w:vAlign w:val="center"/>
          </w:tcPr>
          <w:p>
            <w:pPr>
              <w:spacing w:line="360" w:lineRule="auto"/>
              <w:jc w:val="center"/>
              <w:rPr>
                <w:rFonts w:ascii="宋体" w:hAnsi="宋体" w:cs="宋体"/>
              </w:rPr>
            </w:pPr>
            <w:r>
              <w:rPr>
                <w:rFonts w:hint="eastAsia" w:ascii="宋体" w:hAnsi="宋体" w:cs="宋体"/>
              </w:rPr>
              <w:t>项目名称</w:t>
            </w:r>
          </w:p>
        </w:tc>
        <w:tc>
          <w:tcPr>
            <w:tcW w:w="3038" w:type="pct"/>
            <w:vAlign w:val="center"/>
          </w:tcPr>
          <w:p>
            <w:pPr>
              <w:spacing w:line="360" w:lineRule="auto"/>
              <w:rPr>
                <w:rFonts w:ascii="宋体" w:hAnsi="宋体" w:cs="宋体"/>
              </w:rPr>
            </w:pPr>
            <w:r>
              <w:rPr>
                <w:rFonts w:hint="eastAsia" w:ascii="宋体" w:hAnsi="宋体" w:cs="宋体"/>
              </w:rPr>
              <w:t>荔湾区上九路88号等四处物业整改加固工程初步设计（含概算）项目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3" w:type="pct"/>
            <w:vAlign w:val="center"/>
          </w:tcPr>
          <w:p>
            <w:pPr>
              <w:spacing w:line="360" w:lineRule="auto"/>
              <w:jc w:val="center"/>
              <w:rPr>
                <w:rFonts w:ascii="宋体" w:hAnsi="宋体" w:cs="宋体"/>
              </w:rPr>
            </w:pPr>
            <w:r>
              <w:rPr>
                <w:rFonts w:hint="eastAsia" w:ascii="宋体" w:hAnsi="宋体" w:cs="宋体"/>
              </w:rPr>
              <w:t>3</w:t>
            </w:r>
          </w:p>
        </w:tc>
        <w:tc>
          <w:tcPr>
            <w:tcW w:w="1499" w:type="pct"/>
            <w:vAlign w:val="center"/>
          </w:tcPr>
          <w:p>
            <w:pPr>
              <w:spacing w:line="360" w:lineRule="auto"/>
              <w:jc w:val="center"/>
              <w:rPr>
                <w:rFonts w:ascii="宋体" w:hAnsi="宋体" w:cs="宋体"/>
              </w:rPr>
            </w:pPr>
            <w:bookmarkStart w:id="12" w:name="_Hlk162261511"/>
            <w:r>
              <w:rPr>
                <w:rFonts w:hint="eastAsia" w:ascii="宋体" w:hAnsi="宋体" w:cs="宋体"/>
              </w:rPr>
              <w:t>采购代理机构</w:t>
            </w:r>
            <w:bookmarkEnd w:id="12"/>
          </w:p>
        </w:tc>
        <w:tc>
          <w:tcPr>
            <w:tcW w:w="3038" w:type="pct"/>
            <w:vAlign w:val="center"/>
          </w:tcPr>
          <w:p>
            <w:pPr>
              <w:spacing w:line="360" w:lineRule="auto"/>
              <w:rPr>
                <w:rFonts w:ascii="宋体" w:hAnsi="宋体" w:cs="宋体"/>
              </w:rPr>
            </w:pPr>
            <w:r>
              <w:rPr>
                <w:rFonts w:hint="eastAsia" w:ascii="宋体" w:hAnsi="宋体" w:cs="宋体"/>
              </w:rPr>
              <w:t>名称：广州市国际工程咨询有限公司</w:t>
            </w:r>
          </w:p>
          <w:p>
            <w:pPr>
              <w:spacing w:line="360" w:lineRule="auto"/>
              <w:rPr>
                <w:rFonts w:ascii="宋体" w:hAnsi="宋体" w:cs="宋体"/>
              </w:rPr>
            </w:pPr>
            <w:r>
              <w:rPr>
                <w:rFonts w:hint="eastAsia" w:ascii="宋体" w:hAnsi="宋体" w:cs="宋体"/>
              </w:rPr>
              <w:t>地址：广州市寺右新马路111号五羊新城广场</w:t>
            </w:r>
            <w:r>
              <w:rPr>
                <w:rFonts w:hint="eastAsia" w:ascii="宋体" w:hAnsi="宋体" w:cs="宋体"/>
                <w:b/>
                <w:bCs/>
              </w:rPr>
              <w:t>8楼</w:t>
            </w:r>
            <w:r>
              <w:rPr>
                <w:rFonts w:hint="eastAsia" w:ascii="宋体" w:hAnsi="宋体" w:cs="宋体"/>
              </w:rPr>
              <w:t xml:space="preserve">821 </w:t>
            </w:r>
          </w:p>
          <w:p>
            <w:pPr>
              <w:spacing w:line="360" w:lineRule="auto"/>
              <w:rPr>
                <w:rFonts w:ascii="宋体" w:hAnsi="宋体" w:cs="宋体"/>
              </w:rPr>
            </w:pPr>
            <w:r>
              <w:rPr>
                <w:rFonts w:hint="eastAsia" w:ascii="宋体" w:hAnsi="宋体" w:cs="宋体"/>
              </w:rPr>
              <w:t>联系人：方工、刘工</w:t>
            </w:r>
          </w:p>
          <w:p>
            <w:pPr>
              <w:spacing w:line="360" w:lineRule="auto"/>
              <w:rPr>
                <w:rFonts w:ascii="宋体" w:hAnsi="宋体" w:cs="宋体"/>
              </w:rPr>
            </w:pPr>
            <w:r>
              <w:rPr>
                <w:rFonts w:hint="eastAsia" w:ascii="宋体" w:hAnsi="宋体" w:cs="宋体"/>
              </w:rPr>
              <w:t>联系电话：020-87386919-532</w:t>
            </w:r>
          </w:p>
          <w:p>
            <w:pPr>
              <w:spacing w:line="360" w:lineRule="auto"/>
              <w:rPr>
                <w:rFonts w:ascii="宋体" w:hAnsi="宋体" w:cs="宋体"/>
              </w:rPr>
            </w:pPr>
            <w:r>
              <w:rPr>
                <w:rFonts w:hint="eastAsia" w:ascii="宋体" w:hAnsi="宋体" w:cs="宋体"/>
              </w:rPr>
              <w:t>网址：</w:t>
            </w:r>
            <w:r>
              <w:fldChar w:fldCharType="begin"/>
            </w:r>
            <w:r>
              <w:instrText xml:space="preserve"> HYPERLINK "http://www.giecc.com.cn" </w:instrText>
            </w:r>
            <w:r>
              <w:fldChar w:fldCharType="separate"/>
            </w:r>
            <w:r>
              <w:rPr>
                <w:rFonts w:hint="eastAsia" w:ascii="宋体" w:hAnsi="宋体" w:cs="宋体"/>
              </w:rPr>
              <w:t>http://www.giecc.com.cn</w:t>
            </w:r>
            <w:r>
              <w:rPr>
                <w:rFonts w:hint="eastAsia" w:ascii="宋体" w:hAnsi="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pct"/>
            <w:vAlign w:val="center"/>
          </w:tcPr>
          <w:p>
            <w:pPr>
              <w:spacing w:line="360" w:lineRule="auto"/>
              <w:jc w:val="center"/>
              <w:rPr>
                <w:rFonts w:ascii="宋体" w:hAnsi="宋体" w:cs="宋体"/>
              </w:rPr>
            </w:pPr>
            <w:r>
              <w:rPr>
                <w:rFonts w:hint="eastAsia" w:ascii="宋体" w:hAnsi="宋体" w:cs="宋体"/>
              </w:rPr>
              <w:t>4</w:t>
            </w:r>
          </w:p>
        </w:tc>
        <w:tc>
          <w:tcPr>
            <w:tcW w:w="1499" w:type="pct"/>
            <w:vAlign w:val="center"/>
          </w:tcPr>
          <w:p>
            <w:pPr>
              <w:spacing w:line="360" w:lineRule="auto"/>
              <w:jc w:val="center"/>
              <w:rPr>
                <w:rFonts w:ascii="宋体" w:hAnsi="宋体" w:cs="宋体"/>
              </w:rPr>
            </w:pPr>
            <w:r>
              <w:rPr>
                <w:rFonts w:hint="eastAsia" w:ascii="宋体" w:hAnsi="宋体" w:cs="宋体"/>
              </w:rPr>
              <w:t>采购文件澄清</w:t>
            </w:r>
          </w:p>
        </w:tc>
        <w:tc>
          <w:tcPr>
            <w:tcW w:w="3038" w:type="pct"/>
            <w:vAlign w:val="center"/>
          </w:tcPr>
          <w:p>
            <w:pPr>
              <w:autoSpaceDE w:val="0"/>
              <w:autoSpaceDN w:val="0"/>
              <w:spacing w:line="360" w:lineRule="auto"/>
              <w:rPr>
                <w:rFonts w:ascii="宋体" w:hAnsi="宋体" w:cs="宋体"/>
              </w:rPr>
            </w:pPr>
            <w:r>
              <w:rPr>
                <w:rFonts w:hint="eastAsia" w:ascii="宋体" w:hAnsi="宋体" w:cs="宋体"/>
              </w:rPr>
              <w:t>采购人对采购文件进行必要的补充或修改，于响应文件开启前1天在广州市国际工程咨询有限公司门户网站发布，该补充或修改的内容为采购文件的组成部分。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63" w:type="pct"/>
            <w:vAlign w:val="center"/>
          </w:tcPr>
          <w:p>
            <w:pPr>
              <w:spacing w:line="360" w:lineRule="auto"/>
              <w:jc w:val="center"/>
              <w:rPr>
                <w:rFonts w:ascii="宋体" w:hAnsi="宋体" w:cs="宋体"/>
              </w:rPr>
            </w:pPr>
            <w:r>
              <w:rPr>
                <w:rFonts w:hint="eastAsia" w:ascii="宋体" w:hAnsi="宋体" w:cs="宋体"/>
              </w:rPr>
              <w:t>5</w:t>
            </w:r>
          </w:p>
        </w:tc>
        <w:tc>
          <w:tcPr>
            <w:tcW w:w="1499" w:type="pct"/>
            <w:vAlign w:val="center"/>
          </w:tcPr>
          <w:p>
            <w:pPr>
              <w:spacing w:line="360" w:lineRule="auto"/>
              <w:jc w:val="center"/>
              <w:rPr>
                <w:rFonts w:ascii="宋体" w:hAnsi="宋体" w:cs="宋体"/>
              </w:rPr>
            </w:pPr>
            <w:r>
              <w:rPr>
                <w:rFonts w:hint="eastAsia" w:ascii="宋体" w:hAnsi="宋体" w:cs="宋体"/>
              </w:rPr>
              <w:t>响应文件递交截止时间</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u w:val="single"/>
              </w:rPr>
              <w:t>2024</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18</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9 </w:t>
            </w:r>
            <w:r>
              <w:rPr>
                <w:rFonts w:hint="eastAsia" w:ascii="宋体" w:hAnsi="宋体" w:cs="宋体"/>
                <w:sz w:val="24"/>
                <w:szCs w:val="24"/>
              </w:rPr>
              <w:t>时</w:t>
            </w:r>
            <w:r>
              <w:rPr>
                <w:rFonts w:hint="eastAsia" w:ascii="宋体" w:hAnsi="宋体" w:cs="宋体"/>
                <w:sz w:val="24"/>
                <w:szCs w:val="24"/>
                <w:u w:val="single"/>
              </w:rPr>
              <w:t xml:space="preserve"> 30 </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3" w:type="pct"/>
            <w:vAlign w:val="center"/>
          </w:tcPr>
          <w:p>
            <w:pPr>
              <w:spacing w:line="360" w:lineRule="auto"/>
              <w:jc w:val="center"/>
              <w:rPr>
                <w:rFonts w:ascii="宋体" w:hAnsi="宋体" w:cs="宋体"/>
              </w:rPr>
            </w:pPr>
            <w:r>
              <w:rPr>
                <w:rFonts w:hint="eastAsia" w:ascii="宋体" w:hAnsi="宋体" w:cs="宋体"/>
              </w:rPr>
              <w:t>6</w:t>
            </w:r>
          </w:p>
        </w:tc>
        <w:tc>
          <w:tcPr>
            <w:tcW w:w="1499" w:type="pct"/>
            <w:vAlign w:val="center"/>
          </w:tcPr>
          <w:p>
            <w:pPr>
              <w:spacing w:line="360" w:lineRule="auto"/>
              <w:jc w:val="center"/>
              <w:rPr>
                <w:rFonts w:ascii="宋体" w:hAnsi="宋体" w:cs="宋体"/>
              </w:rPr>
            </w:pPr>
            <w:r>
              <w:rPr>
                <w:rFonts w:hint="eastAsia" w:ascii="宋体" w:hAnsi="宋体" w:cs="宋体"/>
              </w:rPr>
              <w:t>最高限价</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rPr>
              <w:t>本项目最高限价为人民币</w:t>
            </w:r>
            <w:r>
              <w:rPr>
                <w:rFonts w:hint="eastAsia" w:ascii="宋体" w:hAnsi="宋体" w:cs="宋体"/>
                <w:b/>
                <w:sz w:val="24"/>
                <w:szCs w:val="24"/>
                <w:u w:val="single"/>
              </w:rPr>
              <w:t>壹拾陆万贰仟元整（小写：¥</w:t>
            </w:r>
            <w:r>
              <w:rPr>
                <w:rFonts w:ascii="宋体" w:hAnsi="宋体" w:cs="宋体"/>
                <w:b/>
                <w:sz w:val="24"/>
                <w:szCs w:val="24"/>
                <w:u w:val="single"/>
              </w:rPr>
              <w:t>162,000.00</w:t>
            </w:r>
            <w:r>
              <w:rPr>
                <w:rFonts w:hint="eastAsia" w:ascii="宋体" w:hAnsi="宋体" w:cs="宋体"/>
                <w:b/>
                <w:sz w:val="24"/>
                <w:szCs w:val="24"/>
                <w:u w:val="single"/>
              </w:rPr>
              <w:t>）</w:t>
            </w:r>
            <w:r>
              <w:rPr>
                <w:rFonts w:hint="eastAsia" w:ascii="宋体" w:hAnsi="宋体" w:cs="宋体"/>
                <w:sz w:val="24"/>
                <w:szCs w:val="24"/>
              </w:rPr>
              <w:t>（含税）。</w:t>
            </w:r>
          </w:p>
          <w:p>
            <w:pPr>
              <w:pStyle w:val="49"/>
              <w:topLinePunct/>
              <w:spacing w:after="0" w:line="360" w:lineRule="auto"/>
              <w:rPr>
                <w:rFonts w:ascii="宋体" w:hAnsi="宋体" w:cs="宋体"/>
                <w:sz w:val="24"/>
                <w:szCs w:val="24"/>
              </w:rPr>
            </w:pPr>
            <w:r>
              <w:rPr>
                <w:rFonts w:hint="eastAsia" w:ascii="宋体" w:hAnsi="宋体" w:cs="宋体"/>
                <w:sz w:val="24"/>
                <w:szCs w:val="24"/>
              </w:rPr>
              <w:t>超出最高限价的报价将视为无效报价。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3" w:type="pct"/>
            <w:vAlign w:val="center"/>
          </w:tcPr>
          <w:p>
            <w:pPr>
              <w:spacing w:line="360" w:lineRule="auto"/>
              <w:jc w:val="center"/>
              <w:rPr>
                <w:rFonts w:ascii="宋体" w:hAnsi="宋体" w:cs="宋体"/>
              </w:rPr>
            </w:pPr>
            <w:r>
              <w:rPr>
                <w:rFonts w:hint="eastAsia" w:ascii="宋体" w:hAnsi="宋体" w:cs="宋体"/>
              </w:rPr>
              <w:t>7</w:t>
            </w:r>
          </w:p>
        </w:tc>
        <w:tc>
          <w:tcPr>
            <w:tcW w:w="1499" w:type="pct"/>
            <w:vAlign w:val="center"/>
          </w:tcPr>
          <w:p>
            <w:pPr>
              <w:spacing w:line="360" w:lineRule="auto"/>
              <w:jc w:val="center"/>
              <w:rPr>
                <w:rFonts w:ascii="宋体" w:hAnsi="宋体" w:cs="宋体"/>
                <w:kern w:val="2"/>
              </w:rPr>
            </w:pPr>
            <w:r>
              <w:rPr>
                <w:rFonts w:hint="eastAsia" w:ascii="宋体" w:hAnsi="宋体" w:cs="宋体"/>
                <w:kern w:val="2"/>
              </w:rPr>
              <w:t>成本警戒价</w:t>
            </w:r>
          </w:p>
        </w:tc>
        <w:tc>
          <w:tcPr>
            <w:tcW w:w="3038" w:type="pct"/>
            <w:vAlign w:val="center"/>
          </w:tcPr>
          <w:p>
            <w:pPr>
              <w:spacing w:line="360" w:lineRule="auto"/>
              <w:rPr>
                <w:rFonts w:ascii="宋体" w:hAnsi="宋体" w:cs="宋体"/>
                <w:kern w:val="2"/>
              </w:rPr>
            </w:pPr>
            <w:r>
              <w:rPr>
                <w:rFonts w:hint="eastAsia" w:ascii="宋体" w:hAnsi="宋体" w:cs="宋体"/>
                <w:kern w:val="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3" w:type="pct"/>
            <w:vAlign w:val="center"/>
          </w:tcPr>
          <w:p>
            <w:pPr>
              <w:spacing w:line="360" w:lineRule="auto"/>
              <w:jc w:val="center"/>
              <w:rPr>
                <w:rFonts w:ascii="宋体" w:hAnsi="宋体" w:cs="宋体"/>
              </w:rPr>
            </w:pPr>
            <w:r>
              <w:rPr>
                <w:rFonts w:hint="eastAsia" w:ascii="宋体" w:hAnsi="宋体" w:cs="宋体"/>
              </w:rPr>
              <w:t>8</w:t>
            </w:r>
          </w:p>
        </w:tc>
        <w:tc>
          <w:tcPr>
            <w:tcW w:w="1499" w:type="pct"/>
            <w:vAlign w:val="center"/>
          </w:tcPr>
          <w:p>
            <w:pPr>
              <w:spacing w:line="360" w:lineRule="auto"/>
              <w:jc w:val="center"/>
              <w:rPr>
                <w:rFonts w:ascii="宋体" w:hAnsi="宋体" w:cs="宋体"/>
              </w:rPr>
            </w:pPr>
            <w:r>
              <w:rPr>
                <w:rFonts w:hint="eastAsia" w:ascii="宋体" w:hAnsi="宋体" w:cs="宋体"/>
              </w:rPr>
              <w:t>采购技术需求书</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rPr>
              <w:t>详见本采购文件附件四《用户需求书》。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63" w:type="pct"/>
            <w:vAlign w:val="center"/>
          </w:tcPr>
          <w:p>
            <w:pPr>
              <w:spacing w:line="360" w:lineRule="auto"/>
              <w:jc w:val="center"/>
              <w:rPr>
                <w:rFonts w:ascii="宋体" w:hAnsi="宋体" w:cs="宋体"/>
              </w:rPr>
            </w:pPr>
            <w:r>
              <w:rPr>
                <w:rFonts w:hint="eastAsia" w:ascii="宋体" w:hAnsi="宋体" w:cs="宋体"/>
              </w:rPr>
              <w:t>9</w:t>
            </w:r>
          </w:p>
        </w:tc>
        <w:tc>
          <w:tcPr>
            <w:tcW w:w="1499" w:type="pct"/>
            <w:vAlign w:val="center"/>
          </w:tcPr>
          <w:p>
            <w:pPr>
              <w:spacing w:line="360" w:lineRule="auto"/>
              <w:jc w:val="center"/>
              <w:rPr>
                <w:rFonts w:ascii="宋体" w:hAnsi="宋体" w:cs="宋体"/>
              </w:rPr>
            </w:pPr>
            <w:r>
              <w:rPr>
                <w:rFonts w:hint="eastAsia" w:ascii="宋体" w:hAnsi="宋体" w:cs="宋体"/>
              </w:rPr>
              <w:t>响应文件递交有效期</w:t>
            </w:r>
          </w:p>
        </w:tc>
        <w:tc>
          <w:tcPr>
            <w:tcW w:w="3038" w:type="pct"/>
            <w:vAlign w:val="center"/>
          </w:tcPr>
          <w:p>
            <w:pPr>
              <w:spacing w:line="360" w:lineRule="auto"/>
              <w:rPr>
                <w:rFonts w:ascii="宋体" w:hAnsi="宋体" w:cs="宋体"/>
              </w:rPr>
            </w:pPr>
            <w:r>
              <w:rPr>
                <w:rFonts w:hint="eastAsia" w:ascii="宋体" w:hAnsi="宋体" w:cs="宋体"/>
              </w:rPr>
              <w:t>响应文件递交有效期</w:t>
            </w:r>
            <w:r>
              <w:rPr>
                <w:rFonts w:hint="eastAsia" w:ascii="宋体" w:hAnsi="宋体" w:cs="宋体"/>
                <w:u w:val="single"/>
              </w:rPr>
              <w:t>90</w:t>
            </w:r>
            <w:r>
              <w:rPr>
                <w:rFonts w:hint="eastAsia" w:ascii="宋体" w:hAnsi="宋体" w:cs="宋体"/>
              </w:rPr>
              <w:t>天（自响应文件递交截止时间起计算）。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pct"/>
            <w:vAlign w:val="center"/>
          </w:tcPr>
          <w:p>
            <w:pPr>
              <w:spacing w:line="360" w:lineRule="auto"/>
              <w:jc w:val="center"/>
              <w:rPr>
                <w:rFonts w:ascii="宋体" w:hAnsi="宋体" w:cs="宋体"/>
              </w:rPr>
            </w:pPr>
            <w:r>
              <w:rPr>
                <w:rFonts w:hint="eastAsia" w:ascii="宋体" w:hAnsi="宋体" w:cs="宋体"/>
              </w:rPr>
              <w:t>10</w:t>
            </w:r>
          </w:p>
        </w:tc>
        <w:tc>
          <w:tcPr>
            <w:tcW w:w="1499" w:type="pct"/>
            <w:vAlign w:val="center"/>
          </w:tcPr>
          <w:p>
            <w:pPr>
              <w:spacing w:line="360" w:lineRule="auto"/>
              <w:jc w:val="center"/>
              <w:rPr>
                <w:rFonts w:ascii="宋体" w:hAnsi="宋体" w:cs="宋体"/>
              </w:rPr>
            </w:pPr>
            <w:r>
              <w:rPr>
                <w:rFonts w:hint="eastAsia" w:ascii="宋体" w:hAnsi="宋体" w:cs="宋体"/>
              </w:rPr>
              <w:t>投标保证金</w:t>
            </w:r>
          </w:p>
        </w:tc>
        <w:tc>
          <w:tcPr>
            <w:tcW w:w="3038" w:type="pct"/>
            <w:vAlign w:val="center"/>
          </w:tcPr>
          <w:p>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是否要求供应商递交投标保证金：</w:t>
            </w:r>
          </w:p>
          <w:p>
            <w:pPr>
              <w:pStyle w:val="2"/>
              <w:rPr>
                <w:rFonts w:ascii="宋体" w:hAnsi="宋体" w:cs="宋体"/>
              </w:rPr>
            </w:pPr>
            <w:r>
              <w:rPr>
                <w:rFonts w:hint="eastAsia" w:asciiTheme="minorEastAsia" w:hAnsiTheme="minorEastAsia" w:eastAsiaTheme="minorEastAsia" w:cstheme="minorEastAsia"/>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pct"/>
            <w:vAlign w:val="center"/>
          </w:tcPr>
          <w:p>
            <w:pPr>
              <w:spacing w:line="360" w:lineRule="auto"/>
              <w:jc w:val="center"/>
              <w:rPr>
                <w:rFonts w:ascii="宋体" w:hAnsi="宋体" w:cs="宋体"/>
              </w:rPr>
            </w:pPr>
            <w:r>
              <w:rPr>
                <w:rFonts w:hint="eastAsia" w:ascii="宋体" w:hAnsi="宋体" w:cs="宋体"/>
              </w:rPr>
              <w:t>11</w:t>
            </w:r>
          </w:p>
        </w:tc>
        <w:tc>
          <w:tcPr>
            <w:tcW w:w="1499" w:type="pct"/>
            <w:vAlign w:val="center"/>
          </w:tcPr>
          <w:p>
            <w:pPr>
              <w:spacing w:line="360" w:lineRule="auto"/>
              <w:jc w:val="center"/>
              <w:rPr>
                <w:rFonts w:ascii="宋体" w:hAnsi="宋体" w:cs="宋体"/>
              </w:rPr>
            </w:pPr>
            <w:r>
              <w:rPr>
                <w:rFonts w:hint="eastAsia" w:ascii="宋体" w:hAnsi="宋体" w:cs="宋体"/>
              </w:rPr>
              <w:t>响应文件签字、盖章</w:t>
            </w:r>
          </w:p>
        </w:tc>
        <w:tc>
          <w:tcPr>
            <w:tcW w:w="3038" w:type="pct"/>
            <w:vAlign w:val="center"/>
          </w:tcPr>
          <w:p>
            <w:pPr>
              <w:autoSpaceDE w:val="0"/>
              <w:autoSpaceDN w:val="0"/>
              <w:spacing w:line="360" w:lineRule="auto"/>
              <w:rPr>
                <w:rFonts w:ascii="宋体" w:hAnsi="宋体" w:cs="宋体"/>
              </w:rPr>
            </w:pPr>
            <w:r>
              <w:rPr>
                <w:rFonts w:hint="eastAsia" w:ascii="宋体" w:hAnsi="宋体" w:cs="宋体"/>
              </w:rPr>
              <w:t>1、响应文件中凡出现供应商单位落款的地方应盖单位公章。</w:t>
            </w:r>
          </w:p>
          <w:p>
            <w:pPr>
              <w:autoSpaceDE w:val="0"/>
              <w:autoSpaceDN w:val="0"/>
              <w:spacing w:line="360" w:lineRule="auto"/>
              <w:rPr>
                <w:rFonts w:ascii="宋体" w:hAnsi="宋体" w:cs="宋体"/>
              </w:rPr>
            </w:pPr>
            <w:r>
              <w:rPr>
                <w:rFonts w:hint="eastAsia" w:ascii="宋体" w:hAnsi="宋体" w:cs="宋体"/>
              </w:rPr>
              <w:t xml:space="preserve">2、响应文件正本与副本均应使用不能擦去的墨水打印或书写，须由供应商法定代表人或授权的代表人页签或加盖骑缝章； </w:t>
            </w:r>
          </w:p>
          <w:p>
            <w:pPr>
              <w:autoSpaceDE w:val="0"/>
              <w:autoSpaceDN w:val="0"/>
              <w:spacing w:line="360" w:lineRule="auto"/>
              <w:rPr>
                <w:rFonts w:ascii="宋体" w:hAnsi="宋体" w:cs="宋体"/>
              </w:rPr>
            </w:pPr>
            <w:r>
              <w:rPr>
                <w:rFonts w:hint="eastAsia" w:ascii="宋体" w:hAnsi="宋体" w:cs="宋体"/>
              </w:rPr>
              <w:t>3、响应文件的包封须加盖单位章或由供应商的法定代表人或其授权的代表人签字（或盖签章）。</w:t>
            </w:r>
          </w:p>
          <w:p>
            <w:pPr>
              <w:autoSpaceDE w:val="0"/>
              <w:autoSpaceDN w:val="0"/>
              <w:spacing w:line="360" w:lineRule="auto"/>
              <w:rPr>
                <w:rFonts w:ascii="宋体" w:hAnsi="宋体" w:cs="宋体"/>
              </w:rPr>
            </w:pPr>
            <w:r>
              <w:rPr>
                <w:rFonts w:hint="eastAsia" w:ascii="宋体" w:hAnsi="宋体" w:cs="宋体"/>
              </w:rPr>
              <w:t>注：</w:t>
            </w:r>
            <w:r>
              <w:rPr>
                <w:rFonts w:hint="eastAsia" w:ascii="宋体" w:hAnsi="宋体" w:cs="宋体"/>
              </w:rPr>
              <w:fldChar w:fldCharType="begin"/>
            </w:r>
            <w:r>
              <w:rPr>
                <w:rFonts w:hint="eastAsia" w:ascii="宋体" w:hAnsi="宋体" w:cs="宋体"/>
              </w:rPr>
              <w:instrText xml:space="preserve"> = 1 \* GB3 </w:instrText>
            </w:r>
            <w:r>
              <w:rPr>
                <w:rFonts w:hint="eastAsia" w:ascii="宋体" w:hAnsi="宋体" w:cs="宋体"/>
              </w:rPr>
              <w:fldChar w:fldCharType="separate"/>
            </w:r>
            <w:r>
              <w:rPr>
                <w:rFonts w:hint="eastAsia" w:ascii="宋体" w:hAnsi="宋体" w:cs="宋体"/>
              </w:rPr>
              <w:t>①</w:t>
            </w:r>
            <w:r>
              <w:rPr>
                <w:rFonts w:hint="eastAsia" w:ascii="宋体" w:hAnsi="宋体" w:cs="宋体"/>
              </w:rPr>
              <w:fldChar w:fldCharType="end"/>
            </w:r>
            <w:r>
              <w:rPr>
                <w:rFonts w:hint="eastAsia" w:ascii="宋体" w:hAnsi="宋体" w:cs="宋体"/>
              </w:rPr>
              <w:t>文件中所有标注“盖章”处原则上均指单位公章，不能以“业务章”“专用章”等代替；如确需要替代，则必须附公章及法人代表对“业务章”“专用章”等的授权，同时须出具公安部门对单位公章的备案证明（格式自制，且正本中必须附原件）。</w:t>
            </w:r>
          </w:p>
          <w:p>
            <w:pPr>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 = 2 \* GB3 </w:instrText>
            </w:r>
            <w:r>
              <w:rPr>
                <w:rFonts w:hint="eastAsia" w:ascii="宋体" w:hAnsi="宋体" w:cs="宋体"/>
              </w:rPr>
              <w:fldChar w:fldCharType="separate"/>
            </w:r>
            <w:r>
              <w:rPr>
                <w:rFonts w:hint="eastAsia" w:ascii="宋体" w:hAnsi="宋体" w:cs="宋体"/>
              </w:rPr>
              <w:t>②</w:t>
            </w:r>
            <w:r>
              <w:rPr>
                <w:rFonts w:hint="eastAsia" w:ascii="宋体" w:hAnsi="宋体" w:cs="宋体"/>
              </w:rPr>
              <w:fldChar w:fldCharType="end"/>
            </w:r>
            <w:r>
              <w:rPr>
                <w:rFonts w:hint="eastAsia" w:ascii="宋体" w:hAnsi="宋体" w:cs="宋体"/>
              </w:rPr>
              <w:t>文件中所有标注“签字”处均指书写签字或签名章，不能以打印体代替。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pct"/>
            <w:vAlign w:val="center"/>
          </w:tcPr>
          <w:p>
            <w:pPr>
              <w:spacing w:line="360" w:lineRule="auto"/>
              <w:jc w:val="center"/>
              <w:rPr>
                <w:rFonts w:ascii="宋体" w:hAnsi="宋体" w:cs="宋体"/>
              </w:rPr>
            </w:pPr>
            <w:r>
              <w:rPr>
                <w:rFonts w:hint="eastAsia" w:ascii="宋体" w:hAnsi="宋体" w:cs="宋体"/>
              </w:rPr>
              <w:t>12</w:t>
            </w:r>
          </w:p>
        </w:tc>
        <w:tc>
          <w:tcPr>
            <w:tcW w:w="1499" w:type="pct"/>
            <w:vAlign w:val="center"/>
          </w:tcPr>
          <w:p>
            <w:pPr>
              <w:spacing w:line="360" w:lineRule="auto"/>
              <w:jc w:val="center"/>
              <w:rPr>
                <w:rFonts w:ascii="宋体" w:hAnsi="宋体" w:cs="宋体"/>
              </w:rPr>
            </w:pPr>
            <w:r>
              <w:rPr>
                <w:rFonts w:hint="eastAsia" w:ascii="宋体" w:hAnsi="宋体" w:cs="宋体"/>
              </w:rPr>
              <w:t>响应文件份数</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rPr>
              <w:t>全部响应文件应一式5份，正本1份（内装响应文件正本1份，响应文件电子版PDF 1份，只限U盘，不留密码，无病毒，内容应与供应商打印的纸质响应文件内容一致，如有不同，以纸质响应文件为准），副本 4份，并注明“正本”和“副本”。如果正本与副本不符，应以正本为准。响应文件应由供应商的合法授权代表正式签署，任何更改（如有）应由原签署人签字。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 w:type="pct"/>
            <w:vAlign w:val="center"/>
          </w:tcPr>
          <w:p>
            <w:pPr>
              <w:spacing w:line="360" w:lineRule="auto"/>
              <w:jc w:val="center"/>
              <w:rPr>
                <w:rFonts w:ascii="宋体" w:hAnsi="宋体" w:cs="宋体"/>
              </w:rPr>
            </w:pPr>
            <w:r>
              <w:rPr>
                <w:rFonts w:hint="eastAsia" w:ascii="宋体" w:hAnsi="宋体" w:cs="宋体"/>
              </w:rPr>
              <w:t>13</w:t>
            </w:r>
          </w:p>
        </w:tc>
        <w:tc>
          <w:tcPr>
            <w:tcW w:w="1499" w:type="pct"/>
            <w:vAlign w:val="center"/>
          </w:tcPr>
          <w:p>
            <w:pPr>
              <w:pStyle w:val="49"/>
              <w:topLinePunct/>
              <w:spacing w:after="0" w:line="360" w:lineRule="auto"/>
              <w:jc w:val="center"/>
              <w:rPr>
                <w:rFonts w:ascii="宋体" w:hAnsi="宋体" w:cs="宋体"/>
                <w:sz w:val="24"/>
                <w:szCs w:val="24"/>
              </w:rPr>
            </w:pPr>
            <w:r>
              <w:rPr>
                <w:rFonts w:hint="eastAsia" w:ascii="宋体" w:hAnsi="宋体" w:cs="宋体"/>
                <w:sz w:val="24"/>
                <w:szCs w:val="24"/>
              </w:rPr>
              <w:t>响应文件的装订</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rPr>
              <w:t>所有响应文件必须封入密封的信封或包装，响应文件的包封的须加盖单位章或由供应商的法定代表人或其授权的代表人签字（或盖签章）。响应文件的正本和副本应分别封装。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63" w:type="pct"/>
            <w:vAlign w:val="center"/>
          </w:tcPr>
          <w:p>
            <w:pPr>
              <w:spacing w:line="360" w:lineRule="auto"/>
              <w:jc w:val="center"/>
              <w:rPr>
                <w:rFonts w:ascii="宋体" w:hAnsi="宋体" w:cs="宋体"/>
              </w:rPr>
            </w:pPr>
            <w:r>
              <w:rPr>
                <w:rFonts w:hint="eastAsia" w:ascii="宋体" w:hAnsi="宋体" w:cs="宋体"/>
              </w:rPr>
              <w:t>14</w:t>
            </w:r>
          </w:p>
        </w:tc>
        <w:tc>
          <w:tcPr>
            <w:tcW w:w="1499" w:type="pct"/>
            <w:vAlign w:val="center"/>
          </w:tcPr>
          <w:p>
            <w:pPr>
              <w:spacing w:line="360" w:lineRule="auto"/>
              <w:jc w:val="center"/>
              <w:rPr>
                <w:rFonts w:ascii="宋体" w:hAnsi="宋体" w:cs="宋体"/>
              </w:rPr>
            </w:pPr>
            <w:r>
              <w:rPr>
                <w:rFonts w:hint="eastAsia" w:ascii="宋体" w:hAnsi="宋体" w:cs="宋体"/>
              </w:rPr>
              <w:t>封套上应载明的信息</w:t>
            </w:r>
          </w:p>
        </w:tc>
        <w:tc>
          <w:tcPr>
            <w:tcW w:w="3038" w:type="pct"/>
            <w:vAlign w:val="center"/>
          </w:tcPr>
          <w:p>
            <w:pPr>
              <w:pStyle w:val="49"/>
              <w:topLinePunct/>
              <w:spacing w:after="0" w:line="360" w:lineRule="auto"/>
              <w:rPr>
                <w:rFonts w:ascii="宋体" w:hAnsi="宋体" w:cs="宋体"/>
                <w:sz w:val="24"/>
                <w:szCs w:val="24"/>
              </w:rPr>
            </w:pPr>
            <w:r>
              <w:rPr>
                <w:rFonts w:hint="eastAsia" w:ascii="宋体" w:hAnsi="宋体" w:cs="宋体"/>
                <w:sz w:val="24"/>
                <w:szCs w:val="24"/>
              </w:rPr>
              <w:t>正本/副本</w:t>
            </w:r>
          </w:p>
          <w:p>
            <w:pPr>
              <w:pStyle w:val="49"/>
              <w:topLinePunct/>
              <w:spacing w:after="0" w:line="360" w:lineRule="auto"/>
              <w:rPr>
                <w:rFonts w:ascii="宋体" w:hAnsi="宋体" w:cs="宋体"/>
                <w:sz w:val="24"/>
                <w:szCs w:val="24"/>
              </w:rPr>
            </w:pPr>
            <w:r>
              <w:rPr>
                <w:rFonts w:hint="eastAsia" w:ascii="宋体" w:hAnsi="宋体" w:cs="宋体"/>
                <w:sz w:val="24"/>
                <w:szCs w:val="24"/>
              </w:rPr>
              <w:t>收件人名称：广州市国际工程咨询有限公司</w:t>
            </w:r>
          </w:p>
          <w:p>
            <w:pPr>
              <w:pStyle w:val="49"/>
              <w:topLinePunct/>
              <w:spacing w:after="0" w:line="360" w:lineRule="auto"/>
              <w:rPr>
                <w:rFonts w:ascii="宋体" w:hAnsi="宋体" w:cs="宋体"/>
                <w:sz w:val="24"/>
                <w:szCs w:val="24"/>
              </w:rPr>
            </w:pPr>
            <w:r>
              <w:rPr>
                <w:rFonts w:hint="eastAsia" w:ascii="宋体" w:hAnsi="宋体" w:cs="宋体"/>
                <w:sz w:val="24"/>
                <w:szCs w:val="24"/>
              </w:rPr>
              <w:t>项目编号：</w:t>
            </w:r>
          </w:p>
          <w:p>
            <w:pPr>
              <w:pStyle w:val="49"/>
              <w:topLinePunct/>
              <w:spacing w:after="0" w:line="360" w:lineRule="auto"/>
              <w:rPr>
                <w:rFonts w:ascii="宋体" w:hAnsi="宋体" w:cs="宋体"/>
                <w:sz w:val="24"/>
                <w:szCs w:val="24"/>
              </w:rPr>
            </w:pPr>
            <w:r>
              <w:rPr>
                <w:rFonts w:hint="eastAsia" w:ascii="宋体" w:hAnsi="宋体" w:cs="宋体"/>
                <w:sz w:val="24"/>
                <w:szCs w:val="24"/>
              </w:rPr>
              <w:t>项目名称：</w:t>
            </w:r>
          </w:p>
          <w:p>
            <w:pPr>
              <w:pStyle w:val="49"/>
              <w:topLinePunct/>
              <w:spacing w:after="0" w:line="360" w:lineRule="auto"/>
              <w:rPr>
                <w:rFonts w:ascii="宋体" w:hAnsi="宋体" w:cs="宋体"/>
                <w:sz w:val="24"/>
                <w:szCs w:val="24"/>
              </w:rPr>
            </w:pPr>
            <w:r>
              <w:rPr>
                <w:rFonts w:hint="eastAsia" w:ascii="宋体" w:hAnsi="宋体" w:cs="宋体"/>
                <w:sz w:val="24"/>
                <w:szCs w:val="24"/>
              </w:rPr>
              <w:t>（响应文件应注明响应文件开启时间以前不得开封）</w:t>
            </w:r>
          </w:p>
          <w:p>
            <w:pPr>
              <w:pStyle w:val="49"/>
              <w:topLinePunct/>
              <w:spacing w:after="0" w:line="360" w:lineRule="auto"/>
              <w:rPr>
                <w:rFonts w:ascii="宋体" w:hAnsi="宋体" w:cs="宋体"/>
                <w:sz w:val="24"/>
                <w:szCs w:val="24"/>
              </w:rPr>
            </w:pPr>
            <w:r>
              <w:rPr>
                <w:rFonts w:hint="eastAsia" w:ascii="宋体" w:hAnsi="宋体" w:cs="宋体"/>
                <w:sz w:val="24"/>
                <w:szCs w:val="24"/>
              </w:rPr>
              <w:t>供应商名称：</w:t>
            </w:r>
          </w:p>
          <w:p>
            <w:pPr>
              <w:pStyle w:val="49"/>
              <w:topLinePunct/>
              <w:spacing w:after="0" w:line="360" w:lineRule="auto"/>
              <w:rPr>
                <w:rFonts w:ascii="宋体" w:hAnsi="宋体" w:cs="宋体"/>
                <w:sz w:val="24"/>
                <w:szCs w:val="24"/>
              </w:rPr>
            </w:pPr>
            <w:r>
              <w:rPr>
                <w:rFonts w:hint="eastAsia" w:ascii="宋体" w:hAnsi="宋体" w:cs="宋体"/>
                <w:sz w:val="24"/>
                <w:szCs w:val="24"/>
              </w:rPr>
              <w:t>供应商地址：</w:t>
            </w:r>
          </w:p>
          <w:p>
            <w:pPr>
              <w:pStyle w:val="49"/>
              <w:topLinePunct/>
              <w:spacing w:after="0" w:line="360" w:lineRule="auto"/>
              <w:rPr>
                <w:rFonts w:ascii="宋体" w:hAnsi="宋体" w:cs="宋体"/>
                <w:sz w:val="24"/>
                <w:szCs w:val="24"/>
              </w:rPr>
            </w:pPr>
            <w:r>
              <w:rPr>
                <w:rFonts w:hint="eastAsia" w:ascii="宋体" w:hAnsi="宋体" w:cs="宋体"/>
                <w:sz w:val="24"/>
                <w:szCs w:val="24"/>
              </w:rPr>
              <w:t>联 系 人：</w:t>
            </w:r>
          </w:p>
          <w:p>
            <w:pPr>
              <w:pStyle w:val="49"/>
              <w:topLinePunct/>
              <w:spacing w:after="0" w:line="360" w:lineRule="auto"/>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3" w:type="pct"/>
            <w:vAlign w:val="center"/>
          </w:tcPr>
          <w:p>
            <w:pPr>
              <w:spacing w:line="360" w:lineRule="auto"/>
              <w:jc w:val="center"/>
              <w:rPr>
                <w:rFonts w:ascii="宋体" w:hAnsi="宋体" w:cs="宋体"/>
              </w:rPr>
            </w:pPr>
            <w:r>
              <w:rPr>
                <w:rFonts w:hint="eastAsia" w:ascii="宋体" w:hAnsi="宋体" w:cs="宋体"/>
              </w:rPr>
              <w:t>15</w:t>
            </w:r>
          </w:p>
        </w:tc>
        <w:tc>
          <w:tcPr>
            <w:tcW w:w="1499" w:type="pct"/>
            <w:vAlign w:val="center"/>
          </w:tcPr>
          <w:p>
            <w:pPr>
              <w:spacing w:line="360" w:lineRule="auto"/>
              <w:jc w:val="center"/>
              <w:rPr>
                <w:rFonts w:ascii="宋体" w:hAnsi="宋体" w:cs="宋体"/>
              </w:rPr>
            </w:pPr>
            <w:r>
              <w:rPr>
                <w:rFonts w:hint="eastAsia" w:ascii="宋体" w:hAnsi="宋体" w:cs="宋体"/>
              </w:rPr>
              <w:t>递交响应文件地点</w:t>
            </w:r>
          </w:p>
        </w:tc>
        <w:tc>
          <w:tcPr>
            <w:tcW w:w="3038" w:type="pct"/>
            <w:vAlign w:val="center"/>
          </w:tcPr>
          <w:p>
            <w:pPr>
              <w:pStyle w:val="49"/>
              <w:topLinePunct/>
              <w:spacing w:after="0" w:line="360" w:lineRule="auto"/>
              <w:rPr>
                <w:rFonts w:ascii="宋体" w:hAnsi="宋体" w:cs="宋体"/>
                <w:b/>
                <w:kern w:val="0"/>
                <w:sz w:val="24"/>
                <w:szCs w:val="24"/>
              </w:rPr>
            </w:pPr>
            <w:r>
              <w:rPr>
                <w:rFonts w:hint="eastAsia" w:ascii="宋体" w:hAnsi="宋体" w:cs="宋体"/>
                <w:b/>
                <w:kern w:val="0"/>
                <w:sz w:val="24"/>
                <w:szCs w:val="24"/>
              </w:rPr>
              <w:t>递交响应文件地点：</w:t>
            </w:r>
            <w:r>
              <w:rPr>
                <w:rFonts w:hint="eastAsia" w:ascii="宋体" w:hAnsi="宋体" w:cs="宋体"/>
                <w:bCs/>
                <w:kern w:val="0"/>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63" w:type="pct"/>
            <w:vAlign w:val="center"/>
          </w:tcPr>
          <w:p>
            <w:pPr>
              <w:spacing w:line="360" w:lineRule="auto"/>
              <w:jc w:val="center"/>
              <w:rPr>
                <w:rFonts w:ascii="宋体" w:hAnsi="宋体" w:cs="宋体"/>
              </w:rPr>
            </w:pPr>
            <w:r>
              <w:rPr>
                <w:rFonts w:hint="eastAsia" w:ascii="宋体" w:hAnsi="宋体" w:cs="宋体"/>
              </w:rPr>
              <w:t>16</w:t>
            </w:r>
          </w:p>
        </w:tc>
        <w:tc>
          <w:tcPr>
            <w:tcW w:w="1499" w:type="pct"/>
            <w:vAlign w:val="center"/>
          </w:tcPr>
          <w:p>
            <w:pPr>
              <w:spacing w:line="360" w:lineRule="auto"/>
              <w:jc w:val="center"/>
              <w:rPr>
                <w:rFonts w:ascii="宋体" w:hAnsi="宋体" w:cs="宋体"/>
              </w:rPr>
            </w:pPr>
            <w:r>
              <w:rPr>
                <w:rFonts w:hint="eastAsia" w:ascii="宋体" w:hAnsi="宋体" w:cs="宋体"/>
              </w:rPr>
              <w:t>响应文件开启时间</w:t>
            </w:r>
          </w:p>
        </w:tc>
        <w:tc>
          <w:tcPr>
            <w:tcW w:w="3038" w:type="pct"/>
            <w:vAlign w:val="center"/>
          </w:tcPr>
          <w:p>
            <w:pPr>
              <w:pStyle w:val="13"/>
              <w:snapToGrid w:val="0"/>
              <w:spacing w:line="360" w:lineRule="auto"/>
              <w:ind w:left="0" w:firstLine="0"/>
              <w:rPr>
                <w:rFonts w:ascii="宋体" w:hAnsi="宋体" w:eastAsia="宋体" w:cs="宋体"/>
                <w:b/>
                <w:sz w:val="24"/>
                <w:szCs w:val="24"/>
              </w:rPr>
            </w:pPr>
            <w:r>
              <w:rPr>
                <w:rFonts w:hint="eastAsia" w:ascii="宋体" w:hAnsi="宋体" w:eastAsia="宋体" w:cs="宋体"/>
                <w:b/>
                <w:sz w:val="24"/>
                <w:szCs w:val="24"/>
              </w:rPr>
              <w:t>递交响应文件时间：</w:t>
            </w:r>
            <w:r>
              <w:rPr>
                <w:rFonts w:hint="eastAsia" w:ascii="宋体" w:hAnsi="宋体" w:eastAsia="宋体" w:cs="宋体"/>
                <w:bCs/>
                <w:sz w:val="24"/>
                <w:szCs w:val="24"/>
              </w:rPr>
              <w:t>详见采购公告</w:t>
            </w:r>
          </w:p>
          <w:p>
            <w:pPr>
              <w:pStyle w:val="13"/>
              <w:snapToGrid w:val="0"/>
              <w:spacing w:line="360" w:lineRule="auto"/>
              <w:ind w:left="0" w:firstLine="0"/>
              <w:rPr>
                <w:rFonts w:ascii="宋体" w:hAnsi="宋体" w:eastAsia="宋体" w:cs="宋体"/>
                <w:sz w:val="24"/>
                <w:szCs w:val="24"/>
              </w:rPr>
            </w:pPr>
            <w:r>
              <w:rPr>
                <w:rFonts w:hint="eastAsia" w:ascii="宋体" w:hAnsi="宋体" w:eastAsia="宋体" w:cs="宋体"/>
                <w:b/>
                <w:sz w:val="24"/>
                <w:szCs w:val="24"/>
              </w:rPr>
              <w:t>截止及响应文件开启时间：</w:t>
            </w:r>
            <w:r>
              <w:rPr>
                <w:rFonts w:hint="eastAsia" w:ascii="宋体" w:hAnsi="宋体" w:eastAsia="宋体" w:cs="宋体"/>
                <w:bCs/>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3" w:type="pct"/>
            <w:vAlign w:val="center"/>
          </w:tcPr>
          <w:p>
            <w:pPr>
              <w:spacing w:line="360" w:lineRule="auto"/>
              <w:jc w:val="center"/>
              <w:rPr>
                <w:rFonts w:ascii="宋体" w:hAnsi="宋体" w:cs="宋体"/>
              </w:rPr>
            </w:pPr>
            <w:r>
              <w:rPr>
                <w:rFonts w:hint="eastAsia" w:ascii="宋体" w:hAnsi="宋体" w:cs="宋体"/>
              </w:rPr>
              <w:t>17</w:t>
            </w:r>
          </w:p>
        </w:tc>
        <w:tc>
          <w:tcPr>
            <w:tcW w:w="1499" w:type="pct"/>
            <w:vAlign w:val="center"/>
          </w:tcPr>
          <w:p>
            <w:pPr>
              <w:spacing w:line="360" w:lineRule="auto"/>
              <w:jc w:val="center"/>
              <w:rPr>
                <w:rFonts w:ascii="宋体" w:hAnsi="宋体" w:cs="宋体"/>
              </w:rPr>
            </w:pPr>
            <w:r>
              <w:rPr>
                <w:rFonts w:hint="eastAsia" w:ascii="宋体" w:hAnsi="宋体" w:cs="宋体"/>
              </w:rPr>
              <w:t>采购答疑</w:t>
            </w:r>
          </w:p>
        </w:tc>
        <w:tc>
          <w:tcPr>
            <w:tcW w:w="3038" w:type="pct"/>
            <w:vAlign w:val="center"/>
          </w:tcPr>
          <w:p>
            <w:pPr>
              <w:widowControl w:val="0"/>
              <w:spacing w:line="360" w:lineRule="auto"/>
              <w:jc w:val="both"/>
              <w:rPr>
                <w:rFonts w:ascii="宋体" w:hAnsi="宋体" w:cs="宋体"/>
              </w:rPr>
            </w:pPr>
            <w:r>
              <w:rPr>
                <w:rFonts w:hint="eastAsia" w:ascii="宋体" w:hAnsi="宋体" w:cs="宋体"/>
              </w:rPr>
              <w:t>1.请各供应商在</w:t>
            </w:r>
            <w:r>
              <w:rPr>
                <w:rFonts w:hint="eastAsia" w:ascii="宋体" w:hAnsi="宋体" w:cs="宋体"/>
                <w:u w:val="single"/>
              </w:rPr>
              <w:t>2024</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17:00</w:t>
            </w:r>
            <w:r>
              <w:rPr>
                <w:rFonts w:hint="eastAsia" w:ascii="宋体" w:hAnsi="宋体" w:cs="宋体"/>
              </w:rPr>
              <w:t>之前将</w:t>
            </w:r>
            <w:r>
              <w:rPr>
                <w:rFonts w:hint="eastAsia" w:ascii="宋体" w:hAnsi="宋体" w:cs="宋体"/>
                <w:u w:val="single"/>
              </w:rPr>
              <w:t>所需答疑的问题加盖公章扫描</w:t>
            </w:r>
            <w:r>
              <w:rPr>
                <w:rFonts w:hint="eastAsia" w:ascii="宋体" w:hAnsi="宋体" w:cs="宋体"/>
              </w:rPr>
              <w:t>后以邮件形式发到采购代理（联系邮箱：</w:t>
            </w:r>
            <w:r>
              <w:rPr>
                <w:rFonts w:hint="eastAsia" w:ascii="宋体" w:hAnsi="宋体" w:cs="宋体"/>
                <w:u w:val="single"/>
              </w:rPr>
              <w:t>lp@giecc.com.cn</w:t>
            </w:r>
            <w:r>
              <w:rPr>
                <w:rFonts w:hint="eastAsia" w:ascii="宋体" w:hAnsi="宋体" w:cs="宋体"/>
              </w:rPr>
              <w:t>）。</w:t>
            </w:r>
          </w:p>
          <w:p>
            <w:pPr>
              <w:widowControl w:val="0"/>
              <w:spacing w:line="360" w:lineRule="auto"/>
              <w:jc w:val="both"/>
              <w:rPr>
                <w:rFonts w:ascii="宋体" w:hAnsi="宋体" w:cs="宋体"/>
              </w:rPr>
            </w:pPr>
            <w:r>
              <w:rPr>
                <w:rFonts w:hint="eastAsia" w:ascii="宋体" w:hAnsi="宋体" w:cs="宋体"/>
              </w:rPr>
              <w:t>2.供应商提问期限：</w:t>
            </w:r>
            <w:r>
              <w:rPr>
                <w:rFonts w:hint="eastAsia" w:ascii="宋体" w:hAnsi="宋体" w:cs="宋体"/>
                <w:u w:val="single"/>
              </w:rPr>
              <w:t>2024</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17:00</w:t>
            </w:r>
            <w:r>
              <w:rPr>
                <w:rFonts w:hint="eastAsia" w:ascii="宋体" w:hAnsi="宋体" w:cs="宋体"/>
              </w:rPr>
              <w:t>前；</w:t>
            </w:r>
          </w:p>
          <w:p>
            <w:pPr>
              <w:widowControl w:val="0"/>
              <w:spacing w:line="360" w:lineRule="auto"/>
              <w:jc w:val="both"/>
              <w:rPr>
                <w:rFonts w:ascii="宋体" w:hAnsi="宋体" w:cs="宋体"/>
              </w:rPr>
            </w:pPr>
            <w:r>
              <w:rPr>
                <w:rFonts w:hint="eastAsia" w:ascii="宋体" w:hAnsi="宋体" w:cs="宋体"/>
              </w:rPr>
              <w:t>3.采购人澄清、修补或答疑期限：</w:t>
            </w:r>
            <w:r>
              <w:rPr>
                <w:rFonts w:hint="eastAsia" w:ascii="宋体" w:hAnsi="宋体" w:cs="宋体"/>
                <w:u w:val="single"/>
              </w:rPr>
              <w:t>2024</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 xml:space="preserve">16 </w:t>
            </w:r>
            <w:r>
              <w:rPr>
                <w:rFonts w:hint="eastAsia" w:ascii="宋体" w:hAnsi="宋体" w:cs="宋体"/>
                <w:u w:val="single"/>
              </w:rPr>
              <w:t>日9:30</w:t>
            </w:r>
            <w:r>
              <w:rPr>
                <w:rFonts w:hint="eastAsia" w:ascii="宋体" w:hAnsi="宋体" w:cs="宋体"/>
              </w:rPr>
              <w:t>之前；</w:t>
            </w:r>
          </w:p>
          <w:p>
            <w:pPr>
              <w:pStyle w:val="13"/>
              <w:snapToGrid w:val="0"/>
              <w:spacing w:line="360" w:lineRule="auto"/>
              <w:ind w:left="0" w:firstLine="0"/>
              <w:rPr>
                <w:rFonts w:ascii="宋体" w:hAnsi="宋体" w:eastAsia="宋体" w:cs="宋体"/>
                <w:b/>
                <w:sz w:val="24"/>
                <w:szCs w:val="24"/>
              </w:rPr>
            </w:pPr>
            <w:r>
              <w:rPr>
                <w:rFonts w:hint="eastAsia" w:ascii="宋体" w:hAnsi="宋体" w:eastAsia="宋体" w:cs="宋体"/>
                <w:sz w:val="24"/>
                <w:szCs w:val="24"/>
              </w:rPr>
              <w:t>4.答疑纪要在广州市国际工程咨询有限公司网站发布，此采购答疑回复将自动成为本采购文件的组成部分。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18</w:t>
            </w:r>
          </w:p>
        </w:tc>
        <w:tc>
          <w:tcPr>
            <w:tcW w:w="1499" w:type="pct"/>
            <w:vAlign w:val="center"/>
          </w:tcPr>
          <w:p>
            <w:pPr>
              <w:spacing w:line="360" w:lineRule="auto"/>
              <w:jc w:val="center"/>
              <w:rPr>
                <w:rFonts w:ascii="宋体" w:hAnsi="宋体" w:cs="宋体"/>
              </w:rPr>
            </w:pPr>
            <w:r>
              <w:rPr>
                <w:rFonts w:hint="eastAsia" w:ascii="宋体" w:hAnsi="宋体" w:cs="宋体"/>
              </w:rPr>
              <w:t>评审小组的组建</w:t>
            </w:r>
          </w:p>
        </w:tc>
        <w:tc>
          <w:tcPr>
            <w:tcW w:w="3038" w:type="pct"/>
            <w:vAlign w:val="center"/>
          </w:tcPr>
          <w:p>
            <w:pPr>
              <w:spacing w:line="360" w:lineRule="auto"/>
              <w:rPr>
                <w:rFonts w:ascii="宋体" w:hAnsi="宋体" w:cs="宋体"/>
              </w:rPr>
            </w:pPr>
            <w:r>
              <w:rPr>
                <w:rFonts w:hint="eastAsia" w:ascii="宋体" w:hAnsi="宋体" w:cs="宋体"/>
              </w:rPr>
              <w:t>依法组建评审小组。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19</w:t>
            </w:r>
          </w:p>
        </w:tc>
        <w:tc>
          <w:tcPr>
            <w:tcW w:w="1499" w:type="pct"/>
            <w:vAlign w:val="center"/>
          </w:tcPr>
          <w:p>
            <w:pPr>
              <w:autoSpaceDE w:val="0"/>
              <w:autoSpaceDN w:val="0"/>
              <w:spacing w:line="360" w:lineRule="auto"/>
              <w:jc w:val="center"/>
              <w:rPr>
                <w:rFonts w:ascii="宋体" w:hAnsi="宋体" w:cs="宋体"/>
              </w:rPr>
            </w:pPr>
            <w:r>
              <w:rPr>
                <w:rFonts w:hint="eastAsia" w:ascii="宋体" w:hAnsi="宋体" w:cs="宋体"/>
              </w:rPr>
              <w:t>评审方法</w:t>
            </w:r>
          </w:p>
        </w:tc>
        <w:tc>
          <w:tcPr>
            <w:tcW w:w="3038" w:type="pct"/>
            <w:vAlign w:val="center"/>
          </w:tcPr>
          <w:p>
            <w:pPr>
              <w:autoSpaceDE w:val="0"/>
              <w:autoSpaceDN w:val="0"/>
              <w:spacing w:line="360" w:lineRule="auto"/>
              <w:rPr>
                <w:rFonts w:ascii="宋体" w:hAnsi="宋体" w:cs="宋体"/>
              </w:rPr>
            </w:pPr>
            <w:r>
              <w:rPr>
                <w:rFonts w:hint="eastAsia" w:ascii="宋体" w:hAnsi="宋体" w:cs="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20</w:t>
            </w:r>
          </w:p>
        </w:tc>
        <w:tc>
          <w:tcPr>
            <w:tcW w:w="1499" w:type="pct"/>
            <w:vAlign w:val="center"/>
          </w:tcPr>
          <w:p>
            <w:pPr>
              <w:spacing w:line="360" w:lineRule="auto"/>
              <w:jc w:val="center"/>
              <w:rPr>
                <w:rFonts w:ascii="宋体" w:hAnsi="宋体" w:cs="宋体"/>
              </w:rPr>
            </w:pPr>
            <w:r>
              <w:rPr>
                <w:rFonts w:hint="eastAsia" w:ascii="宋体" w:hAnsi="宋体" w:cs="宋体"/>
              </w:rPr>
              <w:t>是否授权评审小组确定中选人</w:t>
            </w:r>
          </w:p>
        </w:tc>
        <w:tc>
          <w:tcPr>
            <w:tcW w:w="3038" w:type="pct"/>
            <w:vAlign w:val="center"/>
          </w:tcPr>
          <w:p>
            <w:pPr>
              <w:spacing w:line="360" w:lineRule="auto"/>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21</w:t>
            </w:r>
          </w:p>
        </w:tc>
        <w:tc>
          <w:tcPr>
            <w:tcW w:w="1499" w:type="pct"/>
            <w:vAlign w:val="center"/>
          </w:tcPr>
          <w:p>
            <w:pPr>
              <w:spacing w:line="360" w:lineRule="auto"/>
              <w:jc w:val="center"/>
              <w:rPr>
                <w:rFonts w:ascii="宋体" w:hAnsi="宋体" w:cs="宋体"/>
              </w:rPr>
            </w:pPr>
            <w:r>
              <w:rPr>
                <w:rFonts w:hint="eastAsia" w:ascii="宋体" w:hAnsi="宋体" w:cs="宋体"/>
              </w:rPr>
              <w:t>中选候选人公示媒介</w:t>
            </w:r>
          </w:p>
        </w:tc>
        <w:tc>
          <w:tcPr>
            <w:tcW w:w="3038" w:type="pct"/>
            <w:vAlign w:val="center"/>
          </w:tcPr>
          <w:p>
            <w:pPr>
              <w:spacing w:line="360" w:lineRule="auto"/>
              <w:rPr>
                <w:rFonts w:ascii="宋体" w:hAnsi="宋体" w:cs="宋体"/>
              </w:rPr>
            </w:pPr>
            <w:r>
              <w:rPr>
                <w:rFonts w:hint="eastAsia" w:ascii="宋体" w:hAnsi="宋体" w:cs="宋体"/>
              </w:rPr>
              <w:t>广州市国际工程咨询有限公司及广州国企阳光采购信息发布平台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22</w:t>
            </w:r>
          </w:p>
        </w:tc>
        <w:tc>
          <w:tcPr>
            <w:tcW w:w="1499" w:type="pct"/>
            <w:vAlign w:val="center"/>
          </w:tcPr>
          <w:p>
            <w:pPr>
              <w:spacing w:line="360" w:lineRule="auto"/>
              <w:jc w:val="center"/>
              <w:rPr>
                <w:rFonts w:ascii="宋体" w:hAnsi="宋体" w:cs="宋体"/>
                <w:strike/>
              </w:rPr>
            </w:pPr>
            <w:r>
              <w:rPr>
                <w:rFonts w:hint="eastAsia" w:ascii="宋体" w:hAnsi="宋体" w:cs="宋体"/>
              </w:rPr>
              <w:t>履约担保</w:t>
            </w:r>
          </w:p>
        </w:tc>
        <w:tc>
          <w:tcPr>
            <w:tcW w:w="3038" w:type="pct"/>
            <w:vAlign w:val="center"/>
          </w:tcPr>
          <w:p>
            <w:pPr>
              <w:spacing w:line="360" w:lineRule="auto"/>
              <w:rPr>
                <w:rFonts w:ascii="宋体" w:hAnsi="宋体" w:cs="宋体"/>
                <w:strike/>
              </w:rPr>
            </w:pPr>
            <w:r>
              <w:rPr>
                <w:rFonts w:hint="eastAsia" w:ascii="宋体" w:hAnsi="宋体" w:cs="宋体"/>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3" w:type="pct"/>
            <w:vAlign w:val="center"/>
          </w:tcPr>
          <w:p>
            <w:pPr>
              <w:spacing w:line="360" w:lineRule="auto"/>
              <w:jc w:val="center"/>
              <w:rPr>
                <w:rFonts w:ascii="宋体" w:hAnsi="宋体" w:cs="宋体"/>
              </w:rPr>
            </w:pPr>
            <w:r>
              <w:rPr>
                <w:rFonts w:hint="eastAsia" w:ascii="宋体" w:hAnsi="宋体" w:cs="宋体"/>
              </w:rPr>
              <w:t>23</w:t>
            </w:r>
          </w:p>
        </w:tc>
        <w:tc>
          <w:tcPr>
            <w:tcW w:w="1499" w:type="pct"/>
            <w:vAlign w:val="center"/>
          </w:tcPr>
          <w:p>
            <w:pPr>
              <w:spacing w:line="360" w:lineRule="auto"/>
              <w:jc w:val="center"/>
              <w:rPr>
                <w:rFonts w:ascii="宋体" w:hAnsi="宋体" w:cs="宋体"/>
              </w:rPr>
            </w:pPr>
            <w:r>
              <w:rPr>
                <w:rFonts w:hint="eastAsia" w:ascii="宋体" w:hAnsi="宋体" w:cs="宋体"/>
              </w:rPr>
              <w:t>其它</w:t>
            </w:r>
          </w:p>
        </w:tc>
        <w:tc>
          <w:tcPr>
            <w:tcW w:w="3038" w:type="pct"/>
            <w:vAlign w:val="center"/>
          </w:tcPr>
          <w:p>
            <w:pPr>
              <w:widowControl w:val="0"/>
              <w:wordWrap w:val="0"/>
              <w:spacing w:line="360" w:lineRule="auto"/>
              <w:jc w:val="both"/>
            </w:pPr>
            <w:r>
              <w:rPr>
                <w:rFonts w:hint="eastAsia"/>
              </w:rPr>
              <w:t>1.供应商应承担所有与编写和提交报价文件有关的费用，不论结果如何，采购人在任何情况下均无义务和责任承担这些费用。</w:t>
            </w:r>
          </w:p>
          <w:p>
            <w:pPr>
              <w:widowControl w:val="0"/>
              <w:wordWrap w:val="0"/>
              <w:spacing w:line="360" w:lineRule="auto"/>
              <w:jc w:val="both"/>
            </w:pPr>
            <w:r>
              <w:rPr>
                <w:rFonts w:hint="eastAsia"/>
              </w:rPr>
              <w:t>2.供应商应保证所提交给采购人的资料和数据是真实的。</w:t>
            </w:r>
          </w:p>
          <w:p>
            <w:pPr>
              <w:widowControl w:val="0"/>
              <w:wordWrap w:val="0"/>
              <w:spacing w:line="360" w:lineRule="auto"/>
              <w:jc w:val="both"/>
            </w:pPr>
            <w:r>
              <w:rPr>
                <w:rFonts w:hint="eastAsia"/>
              </w:rPr>
              <w:t>3.供应商应认真阅读采购文件中所有的事项、格式、条款和规范等要求。供应商没有按照采购文件要求提交全部资料，或者响应文件没有对采购文件各方面都作出实质性响应均属于供应商的风险，没有实质性响应采购文件要求的响应文件将被拒绝。</w:t>
            </w:r>
          </w:p>
          <w:p>
            <w:pPr>
              <w:widowControl w:val="0"/>
              <w:wordWrap w:val="0"/>
              <w:spacing w:line="360" w:lineRule="auto"/>
              <w:jc w:val="both"/>
            </w:pPr>
            <w:r>
              <w:rPr>
                <w:rFonts w:hint="eastAsia"/>
              </w:rPr>
              <w:t>4.本次评审小组专家费用由中选供应商支付。</w:t>
            </w:r>
          </w:p>
        </w:tc>
      </w:tr>
    </w:tbl>
    <w:p>
      <w:pPr>
        <w:rPr>
          <w:rFonts w:ascii="宋体" w:hAnsi="宋体" w:cs="宋体"/>
        </w:rPr>
      </w:pPr>
    </w:p>
    <w:p>
      <w:pPr>
        <w:pStyle w:val="4"/>
        <w:widowControl w:val="0"/>
        <w:wordWrap w:val="0"/>
        <w:spacing w:after="0"/>
        <w:rPr>
          <w:rFonts w:ascii="宋体" w:hAnsi="宋体" w:cs="宋体"/>
        </w:rPr>
      </w:pPr>
      <w:bookmarkStart w:id="13" w:name="_Toc15020"/>
      <w:bookmarkStart w:id="14" w:name="_Toc26919"/>
      <w:bookmarkStart w:id="15" w:name="_Toc31525"/>
      <w:r>
        <w:rPr>
          <w:rFonts w:hint="eastAsia" w:ascii="宋体" w:hAnsi="宋体" w:cs="宋体"/>
        </w:rPr>
        <w:t>二、评审原则</w:t>
      </w:r>
      <w:bookmarkEnd w:id="13"/>
      <w:bookmarkEnd w:id="14"/>
      <w:bookmarkEnd w:id="15"/>
    </w:p>
    <w:p>
      <w:pPr>
        <w:widowControl w:val="0"/>
        <w:wordWrap w:val="0"/>
        <w:spacing w:line="360" w:lineRule="auto"/>
        <w:ind w:firstLine="482" w:firstLineChars="200"/>
        <w:rPr>
          <w:rFonts w:ascii="宋体" w:hAnsi="宋体" w:cs="宋体"/>
          <w:b/>
        </w:rPr>
      </w:pPr>
      <w:r>
        <w:rPr>
          <w:rFonts w:hint="eastAsia" w:ascii="宋体" w:hAnsi="宋体" w:cs="宋体"/>
          <w:b/>
        </w:rPr>
        <w:t>1、评审小组</w:t>
      </w:r>
    </w:p>
    <w:p>
      <w:pPr>
        <w:widowControl w:val="0"/>
        <w:wordWrap w:val="0"/>
        <w:spacing w:line="360" w:lineRule="auto"/>
        <w:ind w:firstLine="480" w:firstLineChars="200"/>
        <w:rPr>
          <w:rFonts w:ascii="宋体" w:hAnsi="宋体" w:cs="宋体"/>
        </w:rPr>
      </w:pPr>
      <w:r>
        <w:rPr>
          <w:rFonts w:hint="eastAsia" w:ascii="宋体" w:hAnsi="宋体" w:cs="宋体"/>
        </w:rPr>
        <w:t>1.1采购代理机构应按相关规定组建评审小组，根据采购文件公布的标准和要求进行评审。</w:t>
      </w:r>
    </w:p>
    <w:p>
      <w:pPr>
        <w:widowControl w:val="0"/>
        <w:wordWrap w:val="0"/>
        <w:spacing w:line="360" w:lineRule="auto"/>
        <w:ind w:firstLine="480" w:firstLineChars="200"/>
        <w:rPr>
          <w:rFonts w:ascii="宋体" w:hAnsi="宋体" w:cs="宋体"/>
        </w:rPr>
      </w:pPr>
      <w:r>
        <w:rPr>
          <w:rFonts w:hint="eastAsia" w:ascii="宋体" w:hAnsi="宋体" w:cs="宋体"/>
        </w:rPr>
        <w:t>1.2评审小组负责资格审查及综合评分工作，并编制相应资格审查及评审报告。</w:t>
      </w:r>
    </w:p>
    <w:p>
      <w:pPr>
        <w:widowControl w:val="0"/>
        <w:wordWrap w:val="0"/>
        <w:spacing w:line="360" w:lineRule="auto"/>
        <w:ind w:firstLine="482" w:firstLineChars="200"/>
        <w:rPr>
          <w:rFonts w:ascii="宋体" w:hAnsi="宋体" w:cs="宋体"/>
          <w:b/>
        </w:rPr>
      </w:pPr>
      <w:r>
        <w:rPr>
          <w:rFonts w:hint="eastAsia" w:ascii="宋体" w:hAnsi="宋体" w:cs="宋体"/>
          <w:b/>
        </w:rPr>
        <w:t>2、资格审查</w:t>
      </w:r>
    </w:p>
    <w:p>
      <w:pPr>
        <w:widowControl w:val="0"/>
        <w:wordWrap w:val="0"/>
        <w:spacing w:line="360" w:lineRule="auto"/>
        <w:ind w:firstLine="480" w:firstLineChars="200"/>
        <w:rPr>
          <w:rFonts w:ascii="宋体" w:hAnsi="宋体" w:cs="宋体"/>
        </w:rPr>
      </w:pPr>
      <w:r>
        <w:rPr>
          <w:rFonts w:hint="eastAsia" w:ascii="宋体" w:hAnsi="宋体" w:cs="宋体"/>
        </w:rPr>
        <w:t xml:space="preserve">2.1 评审小组按采购文件附件一《资格审查表》所规定的评审标准对各供应商进行资格审查，认定其是否符合采购公告载明的供应商合格条件。 </w:t>
      </w:r>
    </w:p>
    <w:p>
      <w:pPr>
        <w:widowControl w:val="0"/>
        <w:wordWrap w:val="0"/>
        <w:spacing w:line="360" w:lineRule="auto"/>
        <w:ind w:firstLine="480" w:firstLineChars="200"/>
        <w:rPr>
          <w:rFonts w:ascii="宋体" w:hAnsi="宋体" w:cs="宋体"/>
        </w:rPr>
      </w:pPr>
      <w:r>
        <w:rPr>
          <w:rFonts w:hint="eastAsia" w:ascii="宋体" w:hAnsi="宋体" w:cs="宋体"/>
        </w:rPr>
        <w:t>2.2 汇总资格审查情况，确定通过资格审查的供应商名单。经资格审查合格的供应商，方可进入下一阶段的综合评审。</w:t>
      </w:r>
    </w:p>
    <w:p>
      <w:pPr>
        <w:widowControl w:val="0"/>
        <w:wordWrap w:val="0"/>
        <w:spacing w:line="360" w:lineRule="auto"/>
        <w:ind w:firstLine="480" w:firstLineChars="200"/>
        <w:rPr>
          <w:rFonts w:ascii="宋体" w:hAnsi="宋体" w:cs="宋体"/>
        </w:rPr>
      </w:pPr>
      <w:r>
        <w:rPr>
          <w:rFonts w:hint="eastAsia" w:ascii="宋体" w:hAnsi="宋体" w:cs="宋体"/>
        </w:rPr>
        <w:t>2.3 编写资格审查报告。</w:t>
      </w:r>
    </w:p>
    <w:p>
      <w:pPr>
        <w:widowControl w:val="0"/>
        <w:wordWrap w:val="0"/>
        <w:spacing w:line="360" w:lineRule="auto"/>
        <w:ind w:firstLine="482" w:firstLineChars="200"/>
        <w:rPr>
          <w:rFonts w:ascii="宋体" w:hAnsi="宋体" w:cs="宋体"/>
          <w:b/>
        </w:rPr>
      </w:pPr>
      <w:r>
        <w:rPr>
          <w:rFonts w:hint="eastAsia" w:ascii="宋体" w:hAnsi="宋体" w:cs="宋体"/>
          <w:b/>
        </w:rPr>
        <w:t>3、综合评审</w:t>
      </w:r>
    </w:p>
    <w:p>
      <w:pPr>
        <w:widowControl w:val="0"/>
        <w:wordWrap w:val="0"/>
        <w:spacing w:line="360" w:lineRule="auto"/>
        <w:ind w:firstLine="480" w:firstLineChars="200"/>
        <w:rPr>
          <w:rFonts w:ascii="宋体" w:hAnsi="宋体" w:cs="宋体"/>
        </w:rPr>
      </w:pPr>
      <w:r>
        <w:rPr>
          <w:rFonts w:hint="eastAsia" w:ascii="宋体" w:hAnsi="宋体" w:cs="宋体"/>
        </w:rPr>
        <w:t>3.1评审小组按采购文件附件二《综合评分表》所规定的评审标准对通过资格审查的供应商进行综合评审，具体评审程序如下：</w:t>
      </w:r>
    </w:p>
    <w:p>
      <w:pPr>
        <w:widowControl w:val="0"/>
        <w:wordWrap w:val="0"/>
        <w:spacing w:line="360" w:lineRule="auto"/>
        <w:ind w:firstLine="480" w:firstLineChars="200"/>
        <w:rPr>
          <w:rFonts w:ascii="宋体" w:hAnsi="宋体" w:cs="宋体"/>
        </w:rPr>
      </w:pPr>
      <w:r>
        <w:rPr>
          <w:rFonts w:hint="eastAsia" w:ascii="宋体" w:hAnsi="宋体" w:cs="宋体"/>
        </w:rPr>
        <w:t>（1）评审小组根据各供应商提交的响应文件，按照附件二《综合评分表》标准首先对供应商的资信、技术服务方案、响应报价等因素进行评审；</w:t>
      </w:r>
    </w:p>
    <w:p>
      <w:pPr>
        <w:widowControl w:val="0"/>
        <w:wordWrap w:val="0"/>
        <w:spacing w:line="360" w:lineRule="auto"/>
        <w:ind w:firstLine="480" w:firstLineChars="200"/>
        <w:rPr>
          <w:rFonts w:ascii="宋体" w:hAnsi="宋体" w:cs="宋体"/>
        </w:rPr>
      </w:pPr>
      <w:r>
        <w:rPr>
          <w:rFonts w:hint="eastAsia" w:ascii="宋体" w:hAnsi="宋体" w:cs="宋体"/>
        </w:rPr>
        <w:t>（2）计算通过资格审查的供应商总得分；</w:t>
      </w:r>
    </w:p>
    <w:p>
      <w:pPr>
        <w:widowControl w:val="0"/>
        <w:wordWrap w:val="0"/>
        <w:spacing w:line="360" w:lineRule="auto"/>
        <w:ind w:firstLine="480" w:firstLineChars="200"/>
        <w:rPr>
          <w:rFonts w:ascii="宋体" w:hAnsi="宋体" w:cs="宋体"/>
        </w:rPr>
      </w:pPr>
      <w:r>
        <w:rPr>
          <w:rFonts w:hint="eastAsia" w:ascii="宋体" w:hAnsi="宋体" w:cs="宋体"/>
        </w:rPr>
        <w:t>（3）评审小组按通过资格审查的供应商的综合得分由高到低进行排序，推荐前3名依次为第一中选候选人</w:t>
      </w:r>
      <w:r>
        <w:rPr>
          <w:rFonts w:hint="eastAsia" w:ascii="宋体" w:hAnsi="宋体" w:cs="宋体"/>
          <w:szCs w:val="21"/>
        </w:rPr>
        <w:t>至第三中选候选人，并编制评审报告。</w:t>
      </w:r>
      <w:r>
        <w:rPr>
          <w:rFonts w:hint="eastAsia" w:ascii="宋体" w:hAnsi="宋体" w:cs="宋体"/>
        </w:rPr>
        <w:t>供应商的综合得分均按各评委评分的算术平均分计算（分数出现小数点时，保留小数点后二位，第三位小数四舍五入），综合得分相同时，按技术服务方案得分高的排前；如仍存在相同情况，由评审小组记名投票确定排序的先后。</w:t>
      </w:r>
      <w:r>
        <w:rPr>
          <w:rFonts w:hint="eastAsia" w:ascii="宋体" w:hAnsi="宋体" w:cs="宋体"/>
          <w:szCs w:val="21"/>
        </w:rPr>
        <w:t>如</w:t>
      </w:r>
      <w:r>
        <w:rPr>
          <w:rFonts w:hint="eastAsia" w:ascii="宋体" w:hAnsi="宋体" w:cs="宋体"/>
        </w:rPr>
        <w:t>中选候选人不足3家，则采购失败，采购人依法重新采购。</w:t>
      </w:r>
    </w:p>
    <w:p>
      <w:pPr>
        <w:widowControl w:val="0"/>
        <w:wordWrap w:val="0"/>
        <w:spacing w:line="360" w:lineRule="auto"/>
        <w:ind w:firstLine="480" w:firstLineChars="200"/>
        <w:rPr>
          <w:rFonts w:ascii="宋体" w:hAnsi="宋体" w:cs="宋体"/>
        </w:rPr>
      </w:pPr>
      <w:r>
        <w:rPr>
          <w:rFonts w:hint="eastAsia" w:ascii="宋体" w:hAnsi="宋体" w:cs="宋体"/>
        </w:rPr>
        <w:t>3.2如出现中选人放弃中选资格或无正当理由不与采购人签订服务合同的或在签订服务合同时向采购人提出附加条件或者更改实质性内容的或因不可抗力提出不能履行合同，采购人有权取消其中选资格，并有权从排名第二、第三的中选候选人依次递补。</w:t>
      </w:r>
    </w:p>
    <w:p>
      <w:pPr>
        <w:pStyle w:val="4"/>
        <w:widowControl w:val="0"/>
        <w:wordWrap w:val="0"/>
        <w:spacing w:after="0"/>
        <w:rPr>
          <w:rFonts w:ascii="宋体" w:hAnsi="宋体" w:cs="宋体"/>
        </w:rPr>
      </w:pPr>
      <w:bookmarkStart w:id="16" w:name="_Toc16001"/>
      <w:bookmarkStart w:id="17" w:name="_Toc29247"/>
      <w:bookmarkStart w:id="18" w:name="_Toc16395"/>
      <w:r>
        <w:rPr>
          <w:rFonts w:hint="eastAsia" w:ascii="宋体" w:hAnsi="宋体" w:cs="宋体"/>
        </w:rPr>
        <w:t>三、响应文件编制</w:t>
      </w:r>
      <w:bookmarkEnd w:id="16"/>
      <w:bookmarkEnd w:id="17"/>
      <w:bookmarkEnd w:id="18"/>
    </w:p>
    <w:p>
      <w:pPr>
        <w:widowControl w:val="0"/>
        <w:wordWrap w:val="0"/>
        <w:spacing w:line="360" w:lineRule="auto"/>
        <w:ind w:firstLine="480" w:firstLineChars="200"/>
        <w:rPr>
          <w:rFonts w:ascii="宋体" w:hAnsi="宋体" w:cs="宋体"/>
        </w:rPr>
      </w:pPr>
      <w:r>
        <w:rPr>
          <w:rFonts w:hint="eastAsia" w:ascii="宋体" w:hAnsi="宋体" w:cs="宋体"/>
        </w:rPr>
        <w:t>1、各正式供应商须提交以下盖单位公章的文件：</w:t>
      </w:r>
    </w:p>
    <w:p>
      <w:pPr>
        <w:widowControl w:val="0"/>
        <w:wordWrap w:val="0"/>
        <w:spacing w:line="360" w:lineRule="auto"/>
        <w:ind w:firstLine="480" w:firstLineChars="200"/>
        <w:rPr>
          <w:rFonts w:ascii="宋体" w:hAnsi="宋体" w:cs="宋体"/>
        </w:rPr>
      </w:pPr>
      <w:r>
        <w:rPr>
          <w:rFonts w:hint="eastAsia" w:ascii="宋体" w:hAnsi="宋体" w:cs="宋体"/>
        </w:rPr>
        <w:t>（1）法定代表人证明书（按格式1填写）；</w:t>
      </w:r>
    </w:p>
    <w:p>
      <w:pPr>
        <w:widowControl w:val="0"/>
        <w:wordWrap w:val="0"/>
        <w:spacing w:line="360" w:lineRule="auto"/>
        <w:ind w:firstLine="480" w:firstLineChars="200"/>
        <w:rPr>
          <w:rFonts w:ascii="宋体" w:hAnsi="宋体" w:cs="宋体"/>
        </w:rPr>
      </w:pPr>
      <w:r>
        <w:rPr>
          <w:rFonts w:hint="eastAsia" w:ascii="宋体" w:hAnsi="宋体" w:cs="宋体"/>
        </w:rPr>
        <w:t>（2）法定代表人授权委托书（按格式2填写）；</w:t>
      </w:r>
    </w:p>
    <w:p>
      <w:pPr>
        <w:widowControl w:val="0"/>
        <w:wordWrap w:val="0"/>
        <w:spacing w:line="360" w:lineRule="auto"/>
        <w:ind w:firstLine="480" w:firstLineChars="200"/>
        <w:rPr>
          <w:rFonts w:ascii="宋体" w:hAnsi="宋体" w:cs="宋体"/>
        </w:rPr>
      </w:pPr>
      <w:r>
        <w:rPr>
          <w:rFonts w:hint="eastAsia" w:ascii="宋体" w:hAnsi="宋体" w:cs="宋体"/>
        </w:rPr>
        <w:t>（3）供应商营业执照（复印件加盖供应商公章）；</w:t>
      </w:r>
    </w:p>
    <w:p>
      <w:pPr>
        <w:widowControl w:val="0"/>
        <w:wordWrap w:val="0"/>
        <w:spacing w:line="360" w:lineRule="auto"/>
        <w:ind w:firstLine="480" w:firstLineChars="200"/>
        <w:rPr>
          <w:rFonts w:ascii="宋体" w:hAnsi="宋体" w:cs="宋体"/>
        </w:rPr>
      </w:pPr>
      <w:r>
        <w:rPr>
          <w:rFonts w:hint="eastAsia" w:ascii="宋体" w:hAnsi="宋体" w:cs="宋体"/>
        </w:rPr>
        <w:t>（4）申请人声明（按格式3填写）；</w:t>
      </w:r>
    </w:p>
    <w:p>
      <w:pPr>
        <w:widowControl w:val="0"/>
        <w:wordWrap w:val="0"/>
        <w:spacing w:line="360" w:lineRule="auto"/>
        <w:ind w:firstLine="480" w:firstLineChars="200"/>
        <w:rPr>
          <w:rFonts w:ascii="宋体" w:hAnsi="宋体" w:cs="宋体"/>
        </w:rPr>
      </w:pPr>
      <w:r>
        <w:rPr>
          <w:rFonts w:hint="eastAsia" w:ascii="宋体" w:hAnsi="宋体" w:cs="宋体"/>
        </w:rPr>
        <w:t>（5）报价函（按格式4填写）；</w:t>
      </w:r>
    </w:p>
    <w:p>
      <w:pPr>
        <w:widowControl w:val="0"/>
        <w:wordWrap w:val="0"/>
        <w:spacing w:line="360" w:lineRule="auto"/>
        <w:ind w:firstLine="480" w:firstLineChars="200"/>
        <w:rPr>
          <w:rFonts w:ascii="宋体" w:hAnsi="宋体" w:cs="宋体"/>
        </w:rPr>
      </w:pPr>
      <w:r>
        <w:rPr>
          <w:rFonts w:hint="eastAsia" w:ascii="宋体" w:hAnsi="宋体" w:cs="宋体"/>
        </w:rPr>
        <w:t>（6）供应商综合实力情况（具体由供应商结合综合评审表评分标准自行考虑，按同类业绩情况按格式5填写）；</w:t>
      </w:r>
    </w:p>
    <w:p>
      <w:pPr>
        <w:widowControl w:val="0"/>
        <w:wordWrap w:val="0"/>
        <w:spacing w:line="360" w:lineRule="auto"/>
        <w:ind w:firstLine="480" w:firstLineChars="200"/>
        <w:rPr>
          <w:rFonts w:ascii="宋体" w:hAnsi="宋体" w:cs="宋体"/>
        </w:rPr>
      </w:pPr>
      <w:r>
        <w:rPr>
          <w:rFonts w:hint="eastAsia" w:ascii="宋体" w:hAnsi="宋体" w:cs="宋体"/>
        </w:rPr>
        <w:t>（7）项目团队配备情况（具体由供应商结合综合评审表评分标准自行考虑，按格式6填写并提供相应证明材料）；</w:t>
      </w:r>
    </w:p>
    <w:p>
      <w:pPr>
        <w:widowControl w:val="0"/>
        <w:wordWrap w:val="0"/>
        <w:spacing w:line="360" w:lineRule="auto"/>
        <w:ind w:firstLine="480" w:firstLineChars="200"/>
        <w:rPr>
          <w:rFonts w:asciiTheme="minorEastAsia" w:hAnsiTheme="minorEastAsia" w:eastAsiaTheme="minorEastAsia" w:cstheme="minorEastAsia"/>
        </w:rPr>
      </w:pPr>
      <w:r>
        <w:rPr>
          <w:rFonts w:hint="eastAsia" w:ascii="宋体" w:hAnsi="宋体" w:cs="宋体"/>
        </w:rPr>
        <w:t>（8）技术服务方案（具体由供应商结合采购人技术需求、项目特点、服务合同</w:t>
      </w:r>
      <w:r>
        <w:rPr>
          <w:rFonts w:hint="eastAsia" w:asciiTheme="minorEastAsia" w:hAnsiTheme="minorEastAsia" w:eastAsiaTheme="minorEastAsia" w:cstheme="minorEastAsia"/>
        </w:rPr>
        <w:t>及综合评分表等自行编制）；</w:t>
      </w:r>
    </w:p>
    <w:p>
      <w:pPr>
        <w:widowControl w:val="0"/>
        <w:wordWrap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（9）响应报价书（按格式7填报）；</w:t>
      </w:r>
    </w:p>
    <w:p>
      <w:pPr>
        <w:widowControl w:val="0"/>
        <w:wordWrap w:val="0"/>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（10）供应商认为需要补充的其他可以证明自身实力及能力的文件（如有）。</w:t>
      </w:r>
    </w:p>
    <w:p>
      <w:pPr>
        <w:widowControl w:val="0"/>
        <w:wordWrap w:val="0"/>
        <w:spacing w:line="360" w:lineRule="auto"/>
        <w:ind w:firstLine="480" w:firstLineChars="200"/>
        <w:rPr>
          <w:rFonts w:ascii="宋体" w:hAnsi="宋体" w:cs="宋体"/>
        </w:rPr>
      </w:pPr>
      <w:r>
        <w:rPr>
          <w:rFonts w:hint="eastAsia" w:ascii="宋体" w:hAnsi="宋体" w:cs="宋体"/>
        </w:rPr>
        <w:t>2、上述资料（电子文件除外）原则上采用A4规格，并装订成册后密封包装，包装袋（盒）封面标记注明“项目名称、供应商单位名称”，封口处须加盖公章，份数为一份正本、肆份副本。如果因供应商未按以上提交要求加写标记和密封，采购人及采购代理机构对误投或资料提前泄露概不负责，各供应商必须保证所提交资格文件的真实性，如有弄虚作假，取消其报名和报价资格。</w:t>
      </w:r>
    </w:p>
    <w:p>
      <w:pPr>
        <w:widowControl w:val="0"/>
        <w:wordWrap w:val="0"/>
        <w:spacing w:line="360" w:lineRule="auto"/>
        <w:ind w:firstLine="480" w:firstLineChars="200"/>
        <w:rPr>
          <w:rFonts w:ascii="宋体" w:hAnsi="宋体" w:cs="宋体"/>
        </w:rPr>
      </w:pPr>
      <w:r>
        <w:rPr>
          <w:rFonts w:hint="eastAsia" w:ascii="宋体" w:hAnsi="宋体" w:cs="宋体"/>
        </w:rPr>
        <w:t xml:space="preserve">3、供应商必须确保所提供的资料的真实性。如被查实提供虚假的证明材料，经采购人或采购代理机构及其组织的评审小组确认后，将取消该供应商在本项目的报价资格，同时上报上级主管部门或监督管理机构将对该供应商给予行政处罚并通报。 </w:t>
      </w:r>
    </w:p>
    <w:p>
      <w:pPr>
        <w:pStyle w:val="4"/>
        <w:widowControl w:val="0"/>
        <w:wordWrap w:val="0"/>
        <w:spacing w:after="0"/>
        <w:rPr>
          <w:rFonts w:ascii="宋体" w:hAnsi="宋体" w:cs="宋体"/>
        </w:rPr>
      </w:pPr>
      <w:bookmarkStart w:id="19" w:name="_Toc2866"/>
      <w:bookmarkStart w:id="20" w:name="_Toc21654"/>
      <w:bookmarkStart w:id="21" w:name="_Toc2272"/>
      <w:r>
        <w:rPr>
          <w:rFonts w:hint="eastAsia" w:ascii="宋体" w:hAnsi="宋体" w:cs="宋体"/>
        </w:rPr>
        <w:t>四、响应文件的递交及截止时间</w:t>
      </w:r>
      <w:bookmarkEnd w:id="19"/>
      <w:bookmarkEnd w:id="20"/>
      <w:bookmarkEnd w:id="21"/>
    </w:p>
    <w:p>
      <w:pPr>
        <w:widowControl w:val="0"/>
        <w:wordWrap w:val="0"/>
        <w:spacing w:line="360" w:lineRule="auto"/>
        <w:ind w:firstLine="480" w:firstLineChars="200"/>
        <w:rPr>
          <w:rFonts w:ascii="宋体" w:hAnsi="宋体" w:cs="宋体"/>
        </w:rPr>
      </w:pPr>
      <w:r>
        <w:rPr>
          <w:rFonts w:hint="eastAsia" w:ascii="宋体" w:hAnsi="宋体" w:cs="宋体"/>
        </w:rPr>
        <w:t>1、供应商应按照采购人的包装要求、时间及地点递交响应文件，采购人有权拒绝接收逾期递交或未按要求包装的响应文件。已递交的响应文件，采购人不予退回。</w:t>
      </w:r>
    </w:p>
    <w:p>
      <w:pPr>
        <w:widowControl w:val="0"/>
        <w:wordWrap w:val="0"/>
        <w:spacing w:line="360" w:lineRule="auto"/>
        <w:ind w:firstLine="480" w:firstLineChars="200"/>
        <w:rPr>
          <w:rFonts w:ascii="宋体" w:hAnsi="宋体" w:cs="宋体"/>
        </w:rPr>
      </w:pPr>
      <w:r>
        <w:rPr>
          <w:rFonts w:hint="eastAsia" w:ascii="宋体" w:hAnsi="宋体" w:cs="宋体"/>
        </w:rPr>
        <w:t>2、采购人有权在提交响应文件截止时间的24小时之前以修改补充通知的方式，酌情延长提交响应文件的截止时间，在此情况下，供应商的所有权利和义务以及响应文件补交的截止时间，均以延长后新的报价截止时间为准。</w:t>
      </w:r>
    </w:p>
    <w:p>
      <w:pPr>
        <w:widowControl w:val="0"/>
        <w:wordWrap w:val="0"/>
        <w:spacing w:line="360" w:lineRule="auto"/>
        <w:ind w:firstLine="480" w:firstLineChars="200"/>
        <w:rPr>
          <w:rFonts w:ascii="宋体" w:hAnsi="宋体" w:cs="宋体"/>
        </w:rPr>
      </w:pPr>
      <w:r>
        <w:rPr>
          <w:rFonts w:hint="eastAsia" w:ascii="宋体" w:hAnsi="宋体" w:cs="宋体"/>
        </w:rPr>
        <w:t>3、本响应文件的有效期为90日历天（从响应文件递交截止之日起计），在此期间，所有的响应文件均保持有效。中选人的响应文件有效期将顺延至协议期结束。</w:t>
      </w:r>
    </w:p>
    <w:p>
      <w:pPr>
        <w:pStyle w:val="4"/>
        <w:widowControl w:val="0"/>
        <w:wordWrap w:val="0"/>
        <w:spacing w:after="0"/>
        <w:rPr>
          <w:rFonts w:ascii="宋体" w:hAnsi="宋体" w:cs="宋体"/>
        </w:rPr>
      </w:pPr>
      <w:bookmarkStart w:id="22" w:name="_Toc1226"/>
      <w:bookmarkStart w:id="23" w:name="_Toc22665"/>
      <w:bookmarkStart w:id="24" w:name="_Toc15889"/>
      <w:r>
        <w:rPr>
          <w:rFonts w:hint="eastAsia" w:ascii="宋体" w:hAnsi="宋体" w:cs="宋体"/>
        </w:rPr>
        <w:t>五、响应文件的更改与撤回</w:t>
      </w:r>
      <w:bookmarkEnd w:id="22"/>
      <w:bookmarkEnd w:id="23"/>
      <w:bookmarkEnd w:id="24"/>
    </w:p>
    <w:p>
      <w:pPr>
        <w:widowControl w:val="0"/>
        <w:wordWrap w:val="0"/>
        <w:spacing w:line="360" w:lineRule="auto"/>
        <w:ind w:firstLine="480" w:firstLineChars="200"/>
        <w:rPr>
          <w:rFonts w:ascii="宋体" w:hAnsi="宋体" w:cs="宋体"/>
        </w:rPr>
      </w:pPr>
      <w:r>
        <w:rPr>
          <w:rFonts w:hint="eastAsia" w:ascii="宋体" w:hAnsi="宋体" w:cs="宋体"/>
        </w:rPr>
        <w:t>1、供应商在提交响应文件以后，在规定的截止时间之前，可以以书面形式补充修改或撤回已提交的响应文件，并以书面形式通知采购代理机构。补充、修改的内容为响应文件的组成部分。送交响应文件在截止日期以后，响应文件不得更改或撤回。</w:t>
      </w:r>
    </w:p>
    <w:p>
      <w:pPr>
        <w:widowControl w:val="0"/>
        <w:wordWrap w:val="0"/>
        <w:spacing w:line="360" w:lineRule="auto"/>
        <w:ind w:firstLine="480" w:firstLineChars="200"/>
        <w:rPr>
          <w:rFonts w:ascii="宋体" w:hAnsi="宋体" w:cs="宋体"/>
        </w:rPr>
      </w:pPr>
      <w:r>
        <w:rPr>
          <w:rFonts w:hint="eastAsia" w:ascii="宋体" w:hAnsi="宋体" w:cs="宋体"/>
        </w:rPr>
        <w:t>2、供应商对响应文件的补充、修改，应按采购文件上述规定进行密封和标识，并在响应文件密封袋上清楚标明“补充、修改”或“撤回”字样。</w:t>
      </w:r>
    </w:p>
    <w:p>
      <w:pPr>
        <w:widowControl w:val="0"/>
        <w:wordWrap w:val="0"/>
        <w:spacing w:line="360" w:lineRule="auto"/>
        <w:ind w:firstLine="480" w:firstLineChars="200"/>
        <w:rPr>
          <w:rFonts w:ascii="宋体" w:hAnsi="宋体" w:cs="宋体"/>
        </w:rPr>
      </w:pPr>
      <w:r>
        <w:rPr>
          <w:rFonts w:hint="eastAsia" w:ascii="宋体" w:hAnsi="宋体" w:cs="宋体"/>
        </w:rPr>
        <w:t>3、在截止时间之后，供应商不得补充、修改响应文件。</w:t>
      </w:r>
    </w:p>
    <w:p>
      <w:pPr>
        <w:pStyle w:val="4"/>
        <w:widowControl w:val="0"/>
        <w:wordWrap w:val="0"/>
        <w:spacing w:after="0"/>
        <w:rPr>
          <w:rFonts w:ascii="宋体" w:hAnsi="宋体" w:cs="宋体"/>
        </w:rPr>
      </w:pPr>
      <w:bookmarkStart w:id="25" w:name="_Toc1545"/>
      <w:bookmarkStart w:id="26" w:name="_Toc18144"/>
      <w:bookmarkStart w:id="27" w:name="_Toc93"/>
      <w:r>
        <w:rPr>
          <w:rFonts w:hint="eastAsia" w:ascii="宋体" w:hAnsi="宋体" w:cs="宋体"/>
        </w:rPr>
        <w:t>六、采购文件的澄清</w:t>
      </w:r>
      <w:bookmarkEnd w:id="25"/>
      <w:bookmarkEnd w:id="26"/>
      <w:bookmarkEnd w:id="27"/>
    </w:p>
    <w:p>
      <w:pPr>
        <w:widowControl w:val="0"/>
        <w:wordWrap w:val="0"/>
        <w:spacing w:line="360" w:lineRule="auto"/>
        <w:ind w:firstLine="480" w:firstLineChars="200"/>
        <w:rPr>
          <w:rFonts w:ascii="宋体" w:hAnsi="宋体" w:cs="宋体"/>
        </w:rPr>
      </w:pPr>
      <w:r>
        <w:rPr>
          <w:rFonts w:hint="eastAsia" w:ascii="宋体" w:hAnsi="宋体" w:cs="宋体"/>
        </w:rPr>
        <w:t>1、在提交响应文件截止时间前，采购人可对采购文件进行必要的澄清或修改。</w:t>
      </w:r>
    </w:p>
    <w:p>
      <w:pPr>
        <w:widowControl w:val="0"/>
        <w:wordWrap w:val="0"/>
        <w:spacing w:line="360" w:lineRule="auto"/>
        <w:ind w:firstLine="480" w:firstLineChars="200"/>
        <w:rPr>
          <w:rFonts w:ascii="宋体" w:hAnsi="宋体" w:cs="宋体"/>
        </w:rPr>
      </w:pPr>
      <w:r>
        <w:rPr>
          <w:rFonts w:hint="eastAsia" w:ascii="宋体" w:hAnsi="宋体" w:cs="宋体"/>
        </w:rPr>
        <w:t>2、在评审过程中，评审小组可以书面形式，公开要求所有供应商对须提供书面资料中不明确的内容进行必要的澄清或说明。供应商的澄清或说明应采用书面形式，并不得改变响应文件的实质性内容。供应商的澄清和说明内容属于响应文件的组成部分。整个澄清和说明的过程不得存在排斥潜在供应商的现象。</w:t>
      </w:r>
    </w:p>
    <w:p>
      <w:pPr>
        <w:widowControl w:val="0"/>
        <w:wordWrap w:val="0"/>
        <w:spacing w:line="360" w:lineRule="auto"/>
        <w:ind w:firstLine="480" w:firstLineChars="200"/>
        <w:rPr>
          <w:rFonts w:ascii="宋体" w:hAnsi="宋体" w:cs="宋体"/>
        </w:rPr>
      </w:pPr>
      <w:r>
        <w:rPr>
          <w:rFonts w:hint="eastAsia" w:ascii="宋体" w:hAnsi="宋体" w:cs="宋体"/>
        </w:rPr>
        <w:t>3、评审小组对须供应商提供书面的资料有疑问或资料复印件模糊无法辨认的，可以书面要求重新递交原件复核，供应商应按时提交原件，否则视为未提交原件。</w:t>
      </w:r>
    </w:p>
    <w:p>
      <w:pPr>
        <w:widowControl w:val="0"/>
        <w:wordWrap w:val="0"/>
        <w:spacing w:line="360" w:lineRule="auto"/>
        <w:ind w:firstLine="480" w:firstLineChars="200"/>
        <w:rPr>
          <w:rFonts w:ascii="宋体" w:hAnsi="宋体" w:cs="宋体"/>
        </w:rPr>
      </w:pPr>
      <w:r>
        <w:rPr>
          <w:rFonts w:hint="eastAsia" w:ascii="宋体" w:hAnsi="宋体" w:cs="宋体"/>
        </w:rPr>
        <w:t>4、供应商获取采购文件后，应仔细阅读采购文件的所有内容，如有残缺、疑问等问题应在采购文件约定的时间内提出，否则由此引起的风险由供应商自己承担。供应商应认真阅读采购文件，若供应商的响应文件没有按采购文件要求提交全部资料，或响应文件没有对采购文件作出实质性响应，其风险由供应商自行承担，该响应文件将被拒绝。</w:t>
      </w:r>
    </w:p>
    <w:p>
      <w:pPr>
        <w:widowControl w:val="0"/>
        <w:wordWrap w:val="0"/>
        <w:spacing w:line="360" w:lineRule="auto"/>
        <w:ind w:firstLine="480" w:firstLineChars="200"/>
        <w:rPr>
          <w:rFonts w:ascii="宋体" w:hAnsi="宋体" w:cs="宋体"/>
        </w:rPr>
      </w:pPr>
      <w:r>
        <w:rPr>
          <w:rFonts w:hint="eastAsia" w:ascii="宋体" w:hAnsi="宋体" w:cs="宋体"/>
        </w:rPr>
        <w:t>5、无论是采购人根据需要主动对采购文件进行必要的澄清，或是根据供应商的要求对采购文件作出的修改，采购人都将于截止时间24小时前以书面文件形式予以答复。</w:t>
      </w:r>
    </w:p>
    <w:p>
      <w:pPr>
        <w:widowControl w:val="0"/>
        <w:wordWrap w:val="0"/>
        <w:spacing w:line="360" w:lineRule="auto"/>
        <w:ind w:firstLine="480" w:firstLineChars="200"/>
        <w:rPr>
          <w:rFonts w:ascii="宋体" w:hAnsi="宋体" w:cs="宋体"/>
        </w:rPr>
      </w:pPr>
      <w:r>
        <w:rPr>
          <w:rFonts w:hint="eastAsia" w:ascii="宋体" w:hAnsi="宋体" w:cs="宋体"/>
        </w:rPr>
        <w:t>6、采购文件的修改或补充将在广州市国际工程咨询有限公司网站发布，采购文件的修改或补充的内容作为采购文件的组成部分，对采购人、供应商双方均具有约束作用。</w:t>
      </w:r>
    </w:p>
    <w:p>
      <w:pPr>
        <w:widowControl w:val="0"/>
        <w:wordWrap w:val="0"/>
        <w:spacing w:line="360" w:lineRule="auto"/>
        <w:ind w:firstLine="480" w:firstLineChars="200"/>
        <w:rPr>
          <w:rFonts w:ascii="宋体" w:hAnsi="宋体" w:cs="宋体"/>
        </w:rPr>
      </w:pPr>
      <w:r>
        <w:rPr>
          <w:rFonts w:hint="eastAsia" w:ascii="宋体" w:hAnsi="宋体" w:cs="宋体"/>
        </w:rPr>
        <w:t>7、当采购文件、采购文件的修改或补充等在同一内容的表述上不一致时，以最后时间发出的书面文件为准。</w:t>
      </w:r>
    </w:p>
    <w:p>
      <w:pPr>
        <w:widowControl w:val="0"/>
        <w:wordWrap w:val="0"/>
        <w:spacing w:line="360" w:lineRule="auto"/>
        <w:ind w:firstLine="480" w:firstLineChars="200"/>
        <w:rPr>
          <w:rFonts w:ascii="宋体" w:hAnsi="宋体" w:cs="宋体"/>
        </w:rPr>
      </w:pPr>
      <w:r>
        <w:rPr>
          <w:rFonts w:hint="eastAsia" w:ascii="宋体" w:hAnsi="宋体" w:cs="宋体"/>
        </w:rPr>
        <w:t>8、为使供应商在编制响应文件时有充分的时间对采购文件的修改或补充等内容进行研究，采购人有权酌情延长提交响应文件的截止时间。</w:t>
      </w:r>
    </w:p>
    <w:p>
      <w:pPr>
        <w:pStyle w:val="4"/>
        <w:widowControl w:val="0"/>
        <w:wordWrap w:val="0"/>
        <w:spacing w:after="0"/>
        <w:rPr>
          <w:rFonts w:ascii="宋体" w:hAnsi="宋体" w:cs="宋体"/>
        </w:rPr>
      </w:pPr>
      <w:bookmarkStart w:id="28" w:name="_Toc27901"/>
      <w:bookmarkStart w:id="29" w:name="_Toc28077"/>
      <w:bookmarkStart w:id="30" w:name="_Toc29571"/>
      <w:r>
        <w:rPr>
          <w:rFonts w:hint="eastAsia" w:ascii="宋体" w:hAnsi="宋体" w:cs="宋体"/>
        </w:rPr>
        <w:t>七、接受和拒绝接受供应商递交响应文件的权力</w:t>
      </w:r>
      <w:bookmarkEnd w:id="28"/>
      <w:bookmarkEnd w:id="29"/>
      <w:bookmarkEnd w:id="30"/>
    </w:p>
    <w:p>
      <w:pPr>
        <w:widowControl w:val="0"/>
        <w:wordWrap w:val="0"/>
        <w:spacing w:line="360" w:lineRule="auto"/>
        <w:ind w:firstLine="480" w:firstLineChars="200"/>
        <w:rPr>
          <w:rFonts w:ascii="宋体" w:hAnsi="宋体" w:cs="宋体"/>
        </w:rPr>
      </w:pPr>
      <w:r>
        <w:rPr>
          <w:rFonts w:hint="eastAsia" w:ascii="宋体" w:hAnsi="宋体" w:cs="宋体"/>
        </w:rPr>
        <w:t>在中选通知发出之前的任何时候，采购人有权拒绝报价最低或其他任何报价的响应文件，并对由此而引起的供应商的影响不承担责任，也不解释原因。</w:t>
      </w:r>
    </w:p>
    <w:p>
      <w:pPr>
        <w:pStyle w:val="4"/>
        <w:widowControl w:val="0"/>
        <w:wordWrap w:val="0"/>
        <w:spacing w:after="0"/>
        <w:rPr>
          <w:rFonts w:ascii="宋体" w:hAnsi="宋体" w:cs="宋体"/>
        </w:rPr>
      </w:pPr>
      <w:bookmarkStart w:id="31" w:name="_Toc20934"/>
      <w:bookmarkStart w:id="32" w:name="_Toc19453"/>
      <w:bookmarkStart w:id="33" w:name="_Toc19363"/>
      <w:r>
        <w:rPr>
          <w:rFonts w:hint="eastAsia" w:ascii="宋体" w:hAnsi="宋体" w:cs="宋体"/>
        </w:rPr>
        <w:t>八、中选通知</w:t>
      </w:r>
      <w:bookmarkEnd w:id="31"/>
      <w:bookmarkEnd w:id="32"/>
      <w:bookmarkEnd w:id="33"/>
    </w:p>
    <w:p>
      <w:pPr>
        <w:widowControl w:val="0"/>
        <w:wordWrap w:val="0"/>
        <w:spacing w:line="360" w:lineRule="auto"/>
        <w:ind w:firstLine="480" w:firstLineChars="200"/>
        <w:rPr>
          <w:rFonts w:ascii="宋体" w:hAnsi="宋体" w:cs="宋体"/>
        </w:rPr>
      </w:pPr>
      <w:r>
        <w:rPr>
          <w:rFonts w:hint="eastAsia" w:ascii="宋体" w:hAnsi="宋体" w:cs="宋体"/>
        </w:rPr>
        <w:t>评审结束后，采购代理机构向中选人及采购人发出中选通知，确认其报价已被接受。中选人的所有澄清资料及双方其它来往的书面文件将作为合同文件的组成部分。</w:t>
      </w:r>
    </w:p>
    <w:p>
      <w:pPr>
        <w:pStyle w:val="4"/>
        <w:widowControl w:val="0"/>
        <w:wordWrap w:val="0"/>
        <w:spacing w:after="0"/>
        <w:rPr>
          <w:rFonts w:ascii="宋体" w:hAnsi="宋体" w:cs="宋体"/>
        </w:rPr>
      </w:pPr>
      <w:bookmarkStart w:id="34" w:name="_Toc21025"/>
      <w:bookmarkStart w:id="35" w:name="_Toc17658"/>
      <w:bookmarkStart w:id="36" w:name="_Toc16934"/>
      <w:r>
        <w:rPr>
          <w:rFonts w:hint="eastAsia" w:ascii="宋体" w:hAnsi="宋体" w:cs="宋体"/>
        </w:rPr>
        <w:t>九、服务合同的签署</w:t>
      </w:r>
      <w:bookmarkEnd w:id="34"/>
      <w:bookmarkEnd w:id="35"/>
      <w:bookmarkEnd w:id="36"/>
    </w:p>
    <w:p>
      <w:pPr>
        <w:widowControl w:val="0"/>
        <w:wordWrap w:val="0"/>
        <w:spacing w:line="360" w:lineRule="auto"/>
        <w:ind w:firstLine="480" w:firstLineChars="200"/>
        <w:rPr>
          <w:rFonts w:ascii="宋体" w:hAnsi="宋体" w:cs="宋体"/>
        </w:rPr>
      </w:pPr>
      <w:r>
        <w:rPr>
          <w:rFonts w:hint="eastAsia" w:ascii="宋体" w:hAnsi="宋体" w:cs="宋体"/>
        </w:rPr>
        <w:t>1、供应商应在采购代理机构发出中选通知书后</w:t>
      </w:r>
      <w:r>
        <w:rPr>
          <w:rFonts w:ascii="宋体" w:hAnsi="宋体" w:cs="宋体"/>
        </w:rPr>
        <w:t>10</w:t>
      </w:r>
      <w:r>
        <w:rPr>
          <w:rFonts w:hint="eastAsia" w:ascii="宋体" w:hAnsi="宋体" w:cs="宋体"/>
        </w:rPr>
        <w:t>个工作日内，按</w:t>
      </w:r>
      <w:r>
        <w:rPr>
          <w:rFonts w:hint="eastAsia" w:ascii="宋体" w:hAnsi="宋体" w:cs="宋体"/>
          <w:bCs/>
        </w:rPr>
        <w:t>采购文件附件</w:t>
      </w:r>
      <w:r>
        <w:rPr>
          <w:rFonts w:hint="eastAsia" w:ascii="宋体" w:hAnsi="宋体" w:cs="宋体"/>
          <w:b/>
        </w:rPr>
        <w:t>三</w:t>
      </w:r>
      <w:r>
        <w:rPr>
          <w:rFonts w:hint="eastAsia" w:ascii="宋体" w:hAnsi="宋体" w:cs="宋体"/>
        </w:rPr>
        <w:t>所规定的版本与采购人签订《建设工程设计服务合同》，合同经双方法定代表人或其授权的代理人签署并加盖公章后生效。</w:t>
      </w:r>
    </w:p>
    <w:p>
      <w:pPr>
        <w:widowControl w:val="0"/>
        <w:wordWrap w:val="0"/>
        <w:spacing w:line="360" w:lineRule="auto"/>
        <w:ind w:firstLine="480" w:firstLineChars="200"/>
        <w:rPr>
          <w:rFonts w:ascii="宋体" w:hAnsi="宋体" w:cs="宋体"/>
        </w:rPr>
      </w:pPr>
      <w:r>
        <w:rPr>
          <w:rFonts w:hint="eastAsia" w:ascii="宋体" w:hAnsi="宋体" w:cs="宋体"/>
        </w:rPr>
        <w:t>2、供应商应仔细研究服务合同中的各项条款，中选通知书发出后，采购人和中选单位将据此签订服务合同，但采购人有权将供应商的报价承诺相关内容在服务合同中加以补充。</w:t>
      </w:r>
    </w:p>
    <w:p>
      <w:pPr>
        <w:widowControl w:val="0"/>
        <w:wordWrap w:val="0"/>
        <w:spacing w:line="360" w:lineRule="auto"/>
        <w:ind w:firstLine="480" w:firstLineChars="200"/>
        <w:rPr>
          <w:rFonts w:ascii="宋体" w:hAnsi="宋体" w:cs="宋体"/>
        </w:rPr>
      </w:pPr>
      <w:r>
        <w:rPr>
          <w:rFonts w:hint="eastAsia" w:ascii="宋体" w:hAnsi="宋体" w:cs="宋体"/>
        </w:rPr>
        <w:t>3、采购代理机构发出中选通知后，中选人如提出超出本采购文件规定条款及报价说明以外的要求，或在本采购文件规定的时间内拒绝签订服务合同时，采购人有权取消其中选资格。</w:t>
      </w:r>
    </w:p>
    <w:p>
      <w:pPr>
        <w:pStyle w:val="4"/>
        <w:widowControl w:val="0"/>
        <w:wordWrap w:val="0"/>
        <w:spacing w:after="0"/>
        <w:rPr>
          <w:rFonts w:ascii="宋体" w:hAnsi="宋体" w:cs="宋体"/>
        </w:rPr>
      </w:pPr>
      <w:bookmarkStart w:id="37" w:name="_Toc4624"/>
      <w:bookmarkStart w:id="38" w:name="_Toc20608"/>
      <w:bookmarkStart w:id="39" w:name="_Toc20643"/>
      <w:r>
        <w:rPr>
          <w:rFonts w:hint="eastAsia" w:ascii="宋体" w:hAnsi="宋体" w:cs="宋体"/>
        </w:rPr>
        <w:t>十、保密条款</w:t>
      </w:r>
      <w:bookmarkEnd w:id="37"/>
      <w:bookmarkEnd w:id="38"/>
      <w:bookmarkEnd w:id="39"/>
      <w:r>
        <w:rPr>
          <w:rFonts w:hint="eastAsia" w:ascii="宋体" w:hAnsi="宋体" w:cs="宋体"/>
        </w:rPr>
        <w:t xml:space="preserve"> </w:t>
      </w:r>
    </w:p>
    <w:p>
      <w:pPr>
        <w:widowControl w:val="0"/>
        <w:wordWrap w:val="0"/>
        <w:spacing w:line="360" w:lineRule="auto"/>
        <w:ind w:firstLine="480" w:firstLineChars="200"/>
        <w:rPr>
          <w:rFonts w:ascii="宋体" w:hAnsi="宋体" w:cs="宋体"/>
        </w:rPr>
      </w:pPr>
      <w:r>
        <w:rPr>
          <w:rFonts w:hint="eastAsia" w:ascii="宋体" w:hAnsi="宋体" w:cs="宋体"/>
        </w:rPr>
        <w:t>1、采购过程中，供应商对采购文件的所有内容有保密义务，不得将采购文件之内容向他人泄露，一旦发现，采购人有权取消其报价资格或视其响应文件为无效响应。</w:t>
      </w:r>
    </w:p>
    <w:p>
      <w:pPr>
        <w:widowControl w:val="0"/>
        <w:wordWrap w:val="0"/>
        <w:spacing w:line="360" w:lineRule="auto"/>
        <w:ind w:firstLine="480" w:firstLineChars="200"/>
        <w:rPr>
          <w:rFonts w:ascii="宋体" w:hAnsi="宋体" w:cs="宋体"/>
        </w:rPr>
      </w:pPr>
      <w:r>
        <w:rPr>
          <w:rFonts w:hint="eastAsia" w:ascii="宋体" w:hAnsi="宋体" w:cs="宋体"/>
        </w:rPr>
        <w:t>2、定标后，供应商无论中选与否，都不得泄露本次采购活动及评审的相关文件。</w:t>
      </w:r>
    </w:p>
    <w:p>
      <w:pPr>
        <w:widowControl w:val="0"/>
        <w:wordWrap w:val="0"/>
        <w:spacing w:line="360" w:lineRule="auto"/>
        <w:ind w:firstLine="480" w:firstLineChars="200"/>
        <w:rPr>
          <w:rFonts w:ascii="宋体" w:hAnsi="宋体" w:cs="宋体"/>
        </w:rPr>
      </w:pPr>
      <w:r>
        <w:rPr>
          <w:rFonts w:hint="eastAsia" w:ascii="宋体" w:hAnsi="宋体" w:cs="宋体"/>
        </w:rPr>
        <w:t>3、若因供应商没有遵循保密要求而引起采购人损失的，采购人有权向供应商要求索赔。</w:t>
      </w:r>
    </w:p>
    <w:p>
      <w:pPr>
        <w:widowControl w:val="0"/>
        <w:wordWrap w:val="0"/>
        <w:spacing w:line="360" w:lineRule="auto"/>
        <w:ind w:firstLine="480" w:firstLineChars="200"/>
        <w:rPr>
          <w:rFonts w:ascii="宋体" w:hAnsi="宋体" w:cs="宋体"/>
        </w:rPr>
      </w:pPr>
    </w:p>
    <w:p>
      <w:pPr>
        <w:pStyle w:val="4"/>
        <w:widowControl w:val="0"/>
        <w:wordWrap w:val="0"/>
        <w:spacing w:after="0"/>
        <w:rPr>
          <w:rFonts w:ascii="宋体" w:hAnsi="宋体" w:cs="宋体"/>
        </w:rPr>
      </w:pPr>
      <w:bookmarkStart w:id="40" w:name="_Toc4851"/>
      <w:bookmarkStart w:id="41" w:name="_Toc31344"/>
      <w:bookmarkStart w:id="42" w:name="_Toc4416"/>
      <w:r>
        <w:rPr>
          <w:rFonts w:hint="eastAsia" w:ascii="宋体" w:hAnsi="宋体" w:cs="宋体"/>
        </w:rPr>
        <w:t>十一、其他</w:t>
      </w:r>
      <w:bookmarkEnd w:id="40"/>
      <w:bookmarkEnd w:id="41"/>
      <w:bookmarkEnd w:id="42"/>
    </w:p>
    <w:p>
      <w:pPr>
        <w:widowControl w:val="0"/>
        <w:wordWrap w:val="0"/>
        <w:spacing w:line="360" w:lineRule="auto"/>
        <w:ind w:firstLine="480" w:firstLineChars="200"/>
        <w:rPr>
          <w:rFonts w:ascii="宋体" w:hAnsi="宋体" w:cs="宋体"/>
        </w:rPr>
      </w:pPr>
      <w:r>
        <w:rPr>
          <w:rFonts w:hint="eastAsia" w:ascii="宋体" w:hAnsi="宋体" w:cs="宋体"/>
        </w:rPr>
        <w:t>1、除本采购文件外，采购人在采购期间发出补遗书和其他正式有效函件，均是采购文件的有效组成部分。</w:t>
      </w:r>
    </w:p>
    <w:p>
      <w:pPr>
        <w:widowControl w:val="0"/>
        <w:wordWrap w:val="0"/>
        <w:spacing w:line="360" w:lineRule="auto"/>
        <w:ind w:firstLine="480" w:firstLineChars="200"/>
        <w:rPr>
          <w:rFonts w:ascii="宋体" w:hAnsi="宋体" w:cs="宋体"/>
        </w:rPr>
      </w:pPr>
      <w:r>
        <w:rPr>
          <w:rFonts w:hint="eastAsia" w:ascii="宋体" w:hAnsi="宋体" w:cs="宋体"/>
        </w:rPr>
        <w:t>2、供应商可在截止递交响应文件前就采购文件中发现的问题，以书面或电子邮件形式通知采购人修改。</w:t>
      </w:r>
    </w:p>
    <w:p>
      <w:pPr>
        <w:widowControl w:val="0"/>
        <w:wordWrap w:val="0"/>
        <w:spacing w:line="360" w:lineRule="auto"/>
        <w:ind w:firstLine="480" w:firstLineChars="200"/>
        <w:rPr>
          <w:rFonts w:ascii="宋体" w:hAnsi="宋体" w:cs="宋体"/>
        </w:rPr>
      </w:pPr>
      <w:r>
        <w:rPr>
          <w:rFonts w:hint="eastAsia" w:ascii="宋体" w:hAnsi="宋体" w:cs="宋体"/>
        </w:rPr>
        <w:t>3、本采购文件的各项条款是后续合同的重要组成部分，如无异议，即视为生效。</w:t>
      </w:r>
    </w:p>
    <w:p>
      <w:pPr>
        <w:widowControl w:val="0"/>
        <w:wordWrap w:val="0"/>
        <w:spacing w:line="360" w:lineRule="auto"/>
        <w:ind w:firstLine="480" w:firstLineChars="200"/>
        <w:rPr>
          <w:rFonts w:ascii="宋体" w:hAnsi="宋体" w:cs="宋体"/>
        </w:rPr>
      </w:pPr>
      <w:r>
        <w:rPr>
          <w:rFonts w:hint="eastAsia" w:ascii="宋体" w:hAnsi="宋体" w:cs="宋体"/>
        </w:rPr>
        <w:t>4、本采购文件解释权在采购代理机构。</w:t>
      </w:r>
    </w:p>
    <w:p>
      <w:pPr>
        <w:pStyle w:val="4"/>
        <w:widowControl w:val="0"/>
        <w:wordWrap w:val="0"/>
        <w:spacing w:before="0" w:after="0"/>
        <w:jc w:val="both"/>
        <w:rPr>
          <w:rFonts w:ascii="宋体" w:hAnsi="宋体" w:cs="宋体"/>
        </w:rPr>
      </w:pPr>
      <w:r>
        <w:rPr>
          <w:rFonts w:hint="eastAsia" w:ascii="宋体" w:hAnsi="宋体" w:cs="宋体"/>
          <w:b w:val="0"/>
          <w:snapToGrid w:val="0"/>
        </w:rPr>
        <w:br w:type="page"/>
      </w:r>
      <w:bookmarkStart w:id="43" w:name="_Toc5658"/>
      <w:bookmarkStart w:id="44" w:name="_Toc5071"/>
      <w:bookmarkStart w:id="45" w:name="_Toc24568"/>
      <w:r>
        <w:rPr>
          <w:rFonts w:hint="eastAsia" w:ascii="宋体" w:hAnsi="宋体" w:cs="宋体"/>
        </w:rPr>
        <w:t>附件一：</w:t>
      </w:r>
      <w:bookmarkEnd w:id="43"/>
      <w:bookmarkEnd w:id="44"/>
      <w:bookmarkEnd w:id="45"/>
    </w:p>
    <w:p>
      <w:pPr>
        <w:widowControl w:val="0"/>
        <w:wordWrap w:val="0"/>
        <w:spacing w:before="156" w:beforeLines="50" w:line="360" w:lineRule="auto"/>
        <w:jc w:val="center"/>
        <w:rPr>
          <w:rFonts w:ascii="宋体" w:hAnsi="宋体" w:cs="宋体"/>
          <w:b/>
          <w:sz w:val="32"/>
          <w:szCs w:val="32"/>
        </w:rPr>
      </w:pPr>
      <w:r>
        <w:rPr>
          <w:rFonts w:hint="eastAsia" w:ascii="宋体" w:hAnsi="宋体" w:cs="宋体"/>
          <w:b/>
          <w:sz w:val="32"/>
          <w:szCs w:val="32"/>
        </w:rPr>
        <w:t>资格审查表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343"/>
        <w:gridCol w:w="502"/>
        <w:gridCol w:w="461"/>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b/>
              </w:rPr>
            </w:pPr>
            <w:r>
              <w:rPr>
                <w:rFonts w:hint="eastAsia" w:ascii="宋体" w:hAnsi="宋体" w:cs="宋体"/>
                <w:b/>
              </w:rPr>
              <w:t>编号</w:t>
            </w:r>
          </w:p>
        </w:tc>
        <w:tc>
          <w:tcPr>
            <w:tcW w:w="3721" w:type="pct"/>
            <w:tcBorders>
              <w:tl2br w:val="single" w:color="auto" w:sz="4" w:space="0"/>
            </w:tcBorders>
            <w:vAlign w:val="center"/>
          </w:tcPr>
          <w:p>
            <w:pPr>
              <w:widowControl w:val="0"/>
              <w:tabs>
                <w:tab w:val="left" w:pos="720"/>
              </w:tabs>
              <w:wordWrap w:val="0"/>
              <w:snapToGrid w:val="0"/>
              <w:spacing w:line="360" w:lineRule="exact"/>
              <w:ind w:firstLine="3855" w:firstLineChars="1600"/>
              <w:rPr>
                <w:rFonts w:ascii="宋体" w:hAnsi="宋体" w:cs="宋体"/>
                <w:b/>
              </w:rPr>
            </w:pPr>
            <w:r>
              <w:rPr>
                <w:rFonts w:hint="eastAsia" w:ascii="宋体" w:hAnsi="宋体" w:cs="宋体"/>
                <w:b/>
              </w:rPr>
              <w:t>供应商名称</w:t>
            </w:r>
          </w:p>
          <w:p>
            <w:pPr>
              <w:widowControl w:val="0"/>
              <w:tabs>
                <w:tab w:val="left" w:pos="720"/>
              </w:tabs>
              <w:wordWrap w:val="0"/>
              <w:snapToGrid w:val="0"/>
              <w:spacing w:line="360" w:lineRule="exact"/>
              <w:ind w:firstLine="964" w:firstLineChars="400"/>
              <w:rPr>
                <w:rFonts w:ascii="宋体" w:hAnsi="宋体" w:cs="宋体"/>
                <w:b/>
              </w:rPr>
            </w:pPr>
            <w:r>
              <w:rPr>
                <w:rFonts w:hint="eastAsia" w:ascii="宋体" w:hAnsi="宋体" w:cs="宋体"/>
                <w:b/>
              </w:rPr>
              <w:t>审查项目</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1</w:t>
            </w:r>
          </w:p>
        </w:tc>
        <w:tc>
          <w:tcPr>
            <w:tcW w:w="3721" w:type="pct"/>
            <w:vAlign w:val="center"/>
          </w:tcPr>
          <w:p>
            <w:pPr>
              <w:widowControl w:val="0"/>
              <w:tabs>
                <w:tab w:val="left" w:pos="720"/>
              </w:tabs>
              <w:wordWrap w:val="0"/>
              <w:snapToGrid w:val="0"/>
              <w:spacing w:line="360" w:lineRule="exact"/>
              <w:jc w:val="both"/>
              <w:rPr>
                <w:rFonts w:ascii="宋体" w:hAnsi="宋体" w:cs="宋体"/>
                <w:spacing w:val="-6"/>
              </w:rPr>
            </w:pPr>
            <w:r>
              <w:rPr>
                <w:rFonts w:hint="eastAsia" w:ascii="宋体" w:hAnsi="宋体" w:cs="宋体"/>
              </w:rPr>
              <w:t>供应商具有独立法人资格，持有工商行政管理部门核发的法人营业执照，按国家法律经营。</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2</w:t>
            </w:r>
          </w:p>
        </w:tc>
        <w:tc>
          <w:tcPr>
            <w:tcW w:w="3721" w:type="pct"/>
            <w:vAlign w:val="center"/>
          </w:tcPr>
          <w:p>
            <w:pPr>
              <w:widowControl w:val="0"/>
              <w:tabs>
                <w:tab w:val="left" w:pos="720"/>
              </w:tabs>
              <w:wordWrap w:val="0"/>
              <w:snapToGrid w:val="0"/>
              <w:spacing w:line="360" w:lineRule="exact"/>
              <w:jc w:val="both"/>
              <w:rPr>
                <w:rFonts w:ascii="宋体" w:hAnsi="宋体" w:cs="宋体"/>
                <w:spacing w:val="-6"/>
              </w:rPr>
            </w:pPr>
            <w:r>
              <w:rPr>
                <w:rFonts w:hint="eastAsia" w:ascii="宋体" w:hAnsi="宋体" w:cs="宋体"/>
              </w:rPr>
              <w:t>供应商未在“信用中国”网站（https://www.creditchina.gov.cn/）中被列入失信被执行人名单，未在国家企业信用信息公示系统（https://www.gsxt.gov.cn/）中被列入严重违法失信企业名单。</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3</w:t>
            </w:r>
          </w:p>
        </w:tc>
        <w:tc>
          <w:tcPr>
            <w:tcW w:w="3721" w:type="pct"/>
            <w:vAlign w:val="center"/>
          </w:tcPr>
          <w:p>
            <w:pPr>
              <w:widowControl w:val="0"/>
              <w:tabs>
                <w:tab w:val="left" w:pos="720"/>
              </w:tabs>
              <w:wordWrap w:val="0"/>
              <w:snapToGrid w:val="0"/>
              <w:spacing w:line="360" w:lineRule="exact"/>
              <w:jc w:val="both"/>
              <w:rPr>
                <w:rFonts w:ascii="宋体" w:hAnsi="宋体" w:cs="宋体"/>
              </w:rPr>
            </w:pPr>
            <w:r>
              <w:rPr>
                <w:rFonts w:hint="eastAsia" w:ascii="宋体" w:hAnsi="宋体" w:cs="宋体"/>
              </w:rPr>
              <w:t>供应商具有建设行政主管部门颁发的且现行有效的工程设计综合甲级资质，或工程设计（建筑行业）甲级资质。</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4</w:t>
            </w:r>
          </w:p>
        </w:tc>
        <w:tc>
          <w:tcPr>
            <w:tcW w:w="3721" w:type="pct"/>
            <w:vAlign w:val="center"/>
          </w:tcPr>
          <w:p>
            <w:pPr>
              <w:widowControl w:val="0"/>
              <w:tabs>
                <w:tab w:val="left" w:pos="720"/>
              </w:tabs>
              <w:wordWrap w:val="0"/>
              <w:snapToGrid w:val="0"/>
              <w:spacing w:line="360" w:lineRule="exact"/>
              <w:jc w:val="both"/>
              <w:rPr>
                <w:rFonts w:ascii="宋体" w:hAnsi="宋体" w:cs="宋体"/>
              </w:rPr>
            </w:pPr>
            <w:r>
              <w:rPr>
                <w:rFonts w:hint="eastAsia" w:ascii="宋体" w:hAnsi="宋体" w:cs="宋体"/>
              </w:rPr>
              <w:t>供应商已按照规定格式和内容签署盖章《申请人声明》（格式见附件五格式3）。</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5</w:t>
            </w:r>
          </w:p>
        </w:tc>
        <w:tc>
          <w:tcPr>
            <w:tcW w:w="3721" w:type="pct"/>
            <w:vAlign w:val="center"/>
          </w:tcPr>
          <w:p>
            <w:pPr>
              <w:widowControl w:val="0"/>
              <w:tabs>
                <w:tab w:val="left" w:pos="720"/>
              </w:tabs>
              <w:wordWrap w:val="0"/>
              <w:snapToGrid w:val="0"/>
              <w:spacing w:line="360" w:lineRule="exact"/>
              <w:jc w:val="both"/>
              <w:rPr>
                <w:rFonts w:ascii="宋体" w:hAnsi="宋体" w:cs="宋体"/>
              </w:rPr>
            </w:pPr>
            <w:r>
              <w:rPr>
                <w:rFonts w:hint="eastAsia" w:ascii="宋体" w:hAnsi="宋体" w:cs="宋体"/>
              </w:rPr>
              <w:t>供应商已按照采购文件格式提交报价函，且报价有效。</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6</w:t>
            </w:r>
          </w:p>
        </w:tc>
        <w:tc>
          <w:tcPr>
            <w:tcW w:w="3721" w:type="pct"/>
            <w:vAlign w:val="center"/>
          </w:tcPr>
          <w:p>
            <w:pPr>
              <w:widowControl w:val="0"/>
              <w:tabs>
                <w:tab w:val="left" w:pos="720"/>
              </w:tabs>
              <w:wordWrap w:val="0"/>
              <w:snapToGrid w:val="0"/>
              <w:spacing w:line="360" w:lineRule="exact"/>
              <w:rPr>
                <w:rFonts w:ascii="宋体" w:hAnsi="宋体" w:cs="宋体"/>
              </w:rPr>
            </w:pPr>
            <w:r>
              <w:rPr>
                <w:rFonts w:hint="eastAsia" w:ascii="宋体" w:hAnsi="宋体" w:cs="宋体"/>
              </w:rPr>
              <w:t>本项目不接受联合体报价。</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pPr>
              <w:widowControl w:val="0"/>
              <w:tabs>
                <w:tab w:val="left" w:pos="720"/>
              </w:tabs>
              <w:wordWrap w:val="0"/>
              <w:snapToGrid w:val="0"/>
              <w:spacing w:line="360" w:lineRule="exact"/>
              <w:jc w:val="center"/>
              <w:rPr>
                <w:rFonts w:ascii="宋体" w:hAnsi="宋体" w:cs="宋体"/>
              </w:rPr>
            </w:pPr>
            <w:r>
              <w:rPr>
                <w:rFonts w:hint="eastAsia" w:ascii="宋体" w:hAnsi="宋体" w:cs="宋体"/>
              </w:rPr>
              <w:t>结论</w:t>
            </w:r>
          </w:p>
        </w:tc>
        <w:tc>
          <w:tcPr>
            <w:tcW w:w="3721" w:type="pct"/>
            <w:vAlign w:val="center"/>
          </w:tcPr>
          <w:p>
            <w:pPr>
              <w:widowControl w:val="0"/>
              <w:tabs>
                <w:tab w:val="left" w:pos="720"/>
              </w:tabs>
              <w:wordWrap w:val="0"/>
              <w:snapToGrid w:val="0"/>
              <w:spacing w:line="360" w:lineRule="exact"/>
              <w:rPr>
                <w:rFonts w:ascii="宋体" w:hAnsi="宋体" w:cs="宋体"/>
              </w:rPr>
            </w:pPr>
            <w:r>
              <w:rPr>
                <w:rFonts w:hint="eastAsia" w:ascii="宋体" w:hAnsi="宋体" w:cs="宋体"/>
              </w:rPr>
              <w:t>是否通过并进入下一阶段评审</w:t>
            </w:r>
          </w:p>
        </w:tc>
        <w:tc>
          <w:tcPr>
            <w:tcW w:w="295" w:type="pct"/>
            <w:vAlign w:val="center"/>
          </w:tcPr>
          <w:p>
            <w:pPr>
              <w:widowControl w:val="0"/>
              <w:tabs>
                <w:tab w:val="left" w:pos="720"/>
              </w:tabs>
              <w:wordWrap w:val="0"/>
              <w:snapToGrid w:val="0"/>
              <w:spacing w:line="360" w:lineRule="exact"/>
              <w:jc w:val="center"/>
              <w:rPr>
                <w:rFonts w:ascii="宋体" w:hAnsi="宋体" w:cs="宋体"/>
              </w:rPr>
            </w:pPr>
          </w:p>
        </w:tc>
        <w:tc>
          <w:tcPr>
            <w:tcW w:w="271" w:type="pct"/>
            <w:vAlign w:val="center"/>
          </w:tcPr>
          <w:p>
            <w:pPr>
              <w:widowControl w:val="0"/>
              <w:tabs>
                <w:tab w:val="left" w:pos="720"/>
              </w:tabs>
              <w:wordWrap w:val="0"/>
              <w:snapToGrid w:val="0"/>
              <w:spacing w:line="360" w:lineRule="exact"/>
              <w:jc w:val="center"/>
              <w:rPr>
                <w:rFonts w:ascii="宋体" w:hAnsi="宋体" w:cs="宋体"/>
              </w:rPr>
            </w:pPr>
          </w:p>
        </w:tc>
        <w:tc>
          <w:tcPr>
            <w:tcW w:w="291" w:type="pct"/>
            <w:vAlign w:val="center"/>
          </w:tcPr>
          <w:p>
            <w:pPr>
              <w:widowControl w:val="0"/>
              <w:tabs>
                <w:tab w:val="left" w:pos="720"/>
              </w:tabs>
              <w:wordWrap w:val="0"/>
              <w:snapToGrid w:val="0"/>
              <w:spacing w:line="360" w:lineRule="exact"/>
              <w:jc w:val="center"/>
              <w:rPr>
                <w:rFonts w:ascii="宋体" w:hAnsi="宋体" w:cs="宋体"/>
              </w:rPr>
            </w:pPr>
          </w:p>
        </w:tc>
      </w:tr>
    </w:tbl>
    <w:p>
      <w:pPr>
        <w:widowControl w:val="0"/>
        <w:wordWrap w:val="0"/>
        <w:spacing w:line="360" w:lineRule="auto"/>
        <w:jc w:val="both"/>
        <w:rPr>
          <w:rFonts w:ascii="宋体" w:hAnsi="宋体" w:cs="宋体"/>
          <w:bCs/>
        </w:rPr>
      </w:pPr>
    </w:p>
    <w:p>
      <w:pPr>
        <w:widowControl w:val="0"/>
        <w:wordWrap w:val="0"/>
        <w:spacing w:line="360" w:lineRule="auto"/>
        <w:jc w:val="both"/>
        <w:rPr>
          <w:rFonts w:ascii="宋体" w:hAnsi="宋体" w:cs="宋体"/>
          <w:bCs/>
        </w:rPr>
      </w:pPr>
      <w:r>
        <w:rPr>
          <w:rFonts w:hint="eastAsia" w:ascii="宋体" w:hAnsi="宋体" w:cs="宋体"/>
          <w:bCs/>
        </w:rPr>
        <w:t>备注：1.“是否通过并进入下一阶段评审”一栏应写“通过”“不通过”。</w:t>
      </w:r>
    </w:p>
    <w:p>
      <w:pPr>
        <w:widowControl w:val="0"/>
        <w:wordWrap w:val="0"/>
        <w:spacing w:line="360" w:lineRule="auto"/>
        <w:ind w:firstLine="720" w:firstLineChars="300"/>
        <w:jc w:val="both"/>
        <w:rPr>
          <w:rFonts w:ascii="宋体" w:hAnsi="宋体" w:cs="宋体"/>
          <w:bCs/>
        </w:rPr>
      </w:pPr>
      <w:r>
        <w:rPr>
          <w:rFonts w:hint="eastAsia" w:ascii="宋体" w:hAnsi="宋体" w:cs="宋体"/>
          <w:bCs/>
        </w:rPr>
        <w:t>2.满足上述情况的打“○”，不满足的打“×”。</w:t>
      </w:r>
    </w:p>
    <w:p>
      <w:pPr>
        <w:widowControl w:val="0"/>
        <w:wordWrap w:val="0"/>
        <w:spacing w:line="360" w:lineRule="auto"/>
        <w:ind w:firstLine="720" w:firstLineChars="300"/>
        <w:jc w:val="both"/>
        <w:rPr>
          <w:rFonts w:ascii="宋体" w:hAnsi="宋体" w:cs="宋体"/>
          <w:bCs/>
        </w:rPr>
      </w:pPr>
      <w:r>
        <w:rPr>
          <w:rFonts w:hint="eastAsia" w:ascii="宋体" w:hAnsi="宋体" w:cs="宋体"/>
          <w:bCs/>
        </w:rPr>
        <w:t>3.经评审小组审核后，出现一个“×”的结论为“不通过”，即按</w:t>
      </w:r>
      <w:r>
        <w:rPr>
          <w:rFonts w:hint="eastAsia" w:ascii="宋体" w:hAnsi="宋体" w:cs="宋体"/>
        </w:rPr>
        <w:t>资格审查</w:t>
      </w:r>
      <w:r>
        <w:rPr>
          <w:rFonts w:hint="eastAsia" w:ascii="宋体" w:hAnsi="宋体" w:cs="宋体"/>
          <w:bCs/>
        </w:rPr>
        <w:t>不合格处理。</w:t>
      </w:r>
    </w:p>
    <w:p>
      <w:pPr>
        <w:widowControl w:val="0"/>
        <w:wordWrap w:val="0"/>
        <w:spacing w:line="360" w:lineRule="auto"/>
        <w:ind w:firstLine="720" w:firstLineChars="300"/>
        <w:jc w:val="both"/>
        <w:rPr>
          <w:rFonts w:ascii="宋体" w:hAnsi="宋体" w:cs="宋体"/>
          <w:bCs/>
        </w:rPr>
      </w:pPr>
      <w:r>
        <w:rPr>
          <w:rFonts w:hint="eastAsia" w:ascii="宋体" w:hAnsi="宋体" w:cs="宋体"/>
          <w:bCs/>
        </w:rPr>
        <w:t>4.表中全部条件满足为“通过”，同意进入下一阶段评审。</w:t>
      </w:r>
    </w:p>
    <w:p>
      <w:pPr>
        <w:widowControl w:val="0"/>
        <w:wordWrap w:val="0"/>
        <w:spacing w:line="360" w:lineRule="auto"/>
        <w:ind w:firstLine="720" w:firstLineChars="300"/>
        <w:jc w:val="both"/>
        <w:rPr>
          <w:rFonts w:ascii="宋体" w:hAnsi="宋体" w:cs="宋体"/>
          <w:bCs/>
        </w:rPr>
      </w:pPr>
      <w:r>
        <w:rPr>
          <w:rFonts w:hint="eastAsia" w:ascii="宋体" w:hAnsi="宋体" w:cs="宋体"/>
          <w:bCs/>
        </w:rPr>
        <w:t>5.若评委意见不一致时，则按少数服从多数的原则，决定该供应商是否通过</w:t>
      </w:r>
      <w:r>
        <w:rPr>
          <w:rFonts w:hint="eastAsia" w:ascii="宋体" w:hAnsi="宋体" w:cs="宋体"/>
        </w:rPr>
        <w:t>资格审查</w:t>
      </w:r>
      <w:r>
        <w:rPr>
          <w:rFonts w:hint="eastAsia" w:ascii="宋体" w:hAnsi="宋体" w:cs="宋体"/>
          <w:bCs/>
        </w:rPr>
        <w:t>，进入下一阶段评审。</w:t>
      </w:r>
    </w:p>
    <w:p>
      <w:pPr>
        <w:widowControl w:val="0"/>
        <w:wordWrap w:val="0"/>
        <w:spacing w:line="360" w:lineRule="auto"/>
        <w:jc w:val="both"/>
        <w:rPr>
          <w:rFonts w:ascii="宋体" w:hAnsi="宋体" w:cs="宋体"/>
          <w:bCs/>
        </w:rPr>
      </w:pPr>
    </w:p>
    <w:p>
      <w:pPr>
        <w:widowControl w:val="0"/>
        <w:wordWrap w:val="0"/>
        <w:spacing w:line="360" w:lineRule="auto"/>
        <w:jc w:val="both"/>
        <w:rPr>
          <w:rFonts w:ascii="宋体" w:hAnsi="宋体" w:cs="宋体"/>
          <w:bCs/>
        </w:rPr>
      </w:pPr>
      <w:r>
        <w:rPr>
          <w:rFonts w:hint="eastAsia" w:ascii="宋体" w:hAnsi="宋体" w:cs="宋体"/>
          <w:bCs/>
        </w:rPr>
        <w:t>评委签名：                                       日期：2024年 月 日</w:t>
      </w:r>
    </w:p>
    <w:p>
      <w:pPr>
        <w:pStyle w:val="4"/>
        <w:widowControl w:val="0"/>
        <w:wordWrap w:val="0"/>
        <w:spacing w:before="0" w:after="0"/>
        <w:jc w:val="both"/>
        <w:rPr>
          <w:rFonts w:ascii="宋体" w:hAnsi="宋体" w:cs="宋体"/>
        </w:rPr>
      </w:pPr>
      <w:r>
        <w:rPr>
          <w:rFonts w:hint="eastAsia" w:ascii="宋体" w:hAnsi="宋体" w:cs="宋体"/>
          <w:b w:val="0"/>
        </w:rPr>
        <w:br w:type="page"/>
      </w:r>
      <w:bookmarkStart w:id="46" w:name="_Toc2758"/>
      <w:bookmarkStart w:id="47" w:name="_Toc13895"/>
      <w:bookmarkStart w:id="48" w:name="_Toc1829"/>
      <w:r>
        <w:rPr>
          <w:rFonts w:hint="eastAsia" w:ascii="宋体" w:hAnsi="宋体" w:cs="宋体"/>
        </w:rPr>
        <w:t>附件二：</w:t>
      </w:r>
      <w:bookmarkEnd w:id="46"/>
      <w:bookmarkEnd w:id="47"/>
      <w:bookmarkEnd w:id="48"/>
    </w:p>
    <w:p>
      <w:pPr>
        <w:widowControl w:val="0"/>
        <w:wordWrap w:val="0"/>
        <w:spacing w:before="156" w:beforeLines="50" w:line="360" w:lineRule="auto"/>
        <w:jc w:val="center"/>
        <w:rPr>
          <w:rFonts w:ascii="宋体" w:hAnsi="宋体" w:cs="宋体"/>
          <w:b/>
          <w:sz w:val="32"/>
          <w:szCs w:val="32"/>
        </w:rPr>
      </w:pPr>
      <w:r>
        <w:rPr>
          <w:rFonts w:hint="eastAsia" w:ascii="宋体" w:hAnsi="宋体" w:cs="宋体"/>
          <w:b/>
          <w:sz w:val="32"/>
          <w:szCs w:val="32"/>
        </w:rPr>
        <w:t>综合评分表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评分项目</w:t>
            </w:r>
          </w:p>
        </w:tc>
        <w:tc>
          <w:tcPr>
            <w:tcW w:w="6458"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1</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同类项目业绩</w:t>
            </w:r>
          </w:p>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（20分）</w:t>
            </w:r>
          </w:p>
        </w:tc>
        <w:tc>
          <w:tcPr>
            <w:tcW w:w="6458" w:type="dxa"/>
            <w:vAlign w:val="center"/>
          </w:tcPr>
          <w:p>
            <w:pPr>
              <w:spacing w:line="276" w:lineRule="auto"/>
              <w:rPr>
                <w:rFonts w:ascii="宋体" w:hAnsi="宋体" w:cs="宋体"/>
                <w:sz w:val="21"/>
                <w:szCs w:val="21"/>
                <w:lang w:bidi="ar"/>
              </w:rPr>
            </w:pPr>
            <w:r>
              <w:rPr>
                <w:rFonts w:hint="eastAsia" w:ascii="宋体" w:hAnsi="宋体" w:cs="宋体"/>
                <w:sz w:val="21"/>
                <w:szCs w:val="21"/>
                <w:lang w:bidi="ar"/>
              </w:rPr>
              <w:t>供应商自2021年1月1日至今独立完成过建筑工程项目类似结构加固设计项目的设计业绩。每一项得5分，最高得分20分。</w:t>
            </w:r>
          </w:p>
          <w:p>
            <w:pPr>
              <w:spacing w:line="276" w:lineRule="auto"/>
              <w:rPr>
                <w:rFonts w:ascii="宋体" w:hAnsi="宋体" w:cs="宋体"/>
                <w:sz w:val="21"/>
                <w:szCs w:val="21"/>
                <w:lang w:bidi="ar"/>
              </w:rPr>
            </w:pPr>
            <w:r>
              <w:rPr>
                <w:rFonts w:hint="eastAsia" w:ascii="宋体" w:hAnsi="宋体" w:cs="宋体"/>
                <w:sz w:val="21"/>
                <w:szCs w:val="21"/>
                <w:lang w:bidi="ar"/>
              </w:rPr>
              <w:t>注：业绩需提供设计合同，业绩时间以设计合同签订时间为准。（提供合同复印件证明，包括但不限于项目名称、金额及实施内容、合同盖章、签订日期，加盖单位公章），如没按要求提供证明材料不予评分。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0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2</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获奖情况（10分）</w:t>
            </w:r>
          </w:p>
        </w:tc>
        <w:tc>
          <w:tcPr>
            <w:tcW w:w="6458" w:type="dxa"/>
            <w:vAlign w:val="center"/>
          </w:tcPr>
          <w:p>
            <w:pPr>
              <w:spacing w:line="276" w:lineRule="auto"/>
              <w:jc w:val="both"/>
              <w:textAlignment w:val="center"/>
              <w:rPr>
                <w:rFonts w:ascii="宋体" w:hAnsi="宋体" w:cs="宋体"/>
                <w:sz w:val="21"/>
                <w:szCs w:val="21"/>
              </w:rPr>
            </w:pPr>
            <w:r>
              <w:rPr>
                <w:rFonts w:hint="eastAsia" w:ascii="宋体" w:hAnsi="宋体" w:cs="宋体"/>
                <w:sz w:val="21"/>
                <w:szCs w:val="21"/>
              </w:rPr>
              <w:t>供应商自2021年1月1日至今承接的建筑工程项目曾获得政府部门或行业协会颁发的工程建设类奖项（包括但不限于各类优质工程奖项、优秀工程勘察设计奖），获得国家级奖项的，每1项得5分；获得省级奖项的，每1项得2分；获得市级奖项的，每1项得1分。本项最高得10分。</w:t>
            </w:r>
          </w:p>
          <w:p>
            <w:pPr>
              <w:spacing w:line="276" w:lineRule="auto"/>
              <w:jc w:val="both"/>
              <w:textAlignment w:val="center"/>
              <w:rPr>
                <w:rFonts w:ascii="宋体" w:hAnsi="宋体" w:cs="宋体"/>
                <w:sz w:val="21"/>
                <w:szCs w:val="21"/>
              </w:rPr>
            </w:pPr>
            <w:r>
              <w:rPr>
                <w:rFonts w:hint="eastAsia" w:ascii="宋体" w:hAnsi="宋体" w:cs="宋体"/>
                <w:sz w:val="21"/>
                <w:szCs w:val="21"/>
              </w:rPr>
              <w:t>注：以上各项得分予以累计，最高得10分。需提供获奖证书复印件，否则不得分。时间以证书颁发时间为准。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0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3</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拟投入项目负责人（10分）</w:t>
            </w:r>
          </w:p>
        </w:tc>
        <w:tc>
          <w:tcPr>
            <w:tcW w:w="6458" w:type="dxa"/>
            <w:vAlign w:val="center"/>
          </w:tcPr>
          <w:p>
            <w:pPr>
              <w:spacing w:line="276" w:lineRule="auto"/>
              <w:jc w:val="both"/>
              <w:textAlignment w:val="center"/>
              <w:rPr>
                <w:rFonts w:ascii="宋体" w:hAnsi="宋体" w:cs="宋体"/>
                <w:sz w:val="21"/>
                <w:szCs w:val="21"/>
              </w:rPr>
            </w:pPr>
            <w:r>
              <w:rPr>
                <w:rFonts w:hint="eastAsia" w:ascii="宋体" w:hAnsi="宋体" w:cs="宋体"/>
                <w:sz w:val="21"/>
                <w:szCs w:val="21"/>
              </w:rPr>
              <w:t>供应商本项目的负责人，具备工程师职称的，得5分，具备高级工程师职称的，得10分。</w:t>
            </w:r>
          </w:p>
          <w:p>
            <w:pPr>
              <w:spacing w:line="276" w:lineRule="auto"/>
              <w:jc w:val="both"/>
              <w:textAlignment w:val="center"/>
              <w:rPr>
                <w:rFonts w:ascii="宋体" w:hAnsi="宋体" w:cs="宋体"/>
                <w:sz w:val="21"/>
                <w:szCs w:val="21"/>
              </w:rPr>
            </w:pPr>
            <w:r>
              <w:rPr>
                <w:rFonts w:hint="eastAsia" w:ascii="宋体" w:hAnsi="宋体" w:cs="宋体"/>
                <w:sz w:val="21"/>
                <w:szCs w:val="21"/>
              </w:rPr>
              <w:t>注：提供自公告发布前三个月在本单位缴纳的社保证明（以加盖社会保险基金管理中心印章的《缴费历史明细表》或《社会保险参保人员证明》为准）。本项最高得10分。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4" w:type="dxa"/>
            <w:vAlign w:val="center"/>
          </w:tcPr>
          <w:p>
            <w:pPr>
              <w:pStyle w:val="2"/>
              <w:spacing w:line="276" w:lineRule="auto"/>
              <w:jc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val="en-US" w:eastAsia="zh-CN" w:bidi="ar"/>
              </w:rPr>
              <w:t>4</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项目方案</w:t>
            </w:r>
          </w:p>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（30分）</w:t>
            </w:r>
          </w:p>
        </w:tc>
        <w:tc>
          <w:tcPr>
            <w:tcW w:w="6458" w:type="dxa"/>
            <w:vAlign w:val="center"/>
          </w:tcPr>
          <w:p>
            <w:pPr>
              <w:spacing w:line="276" w:lineRule="auto"/>
              <w:jc w:val="both"/>
              <w:textAlignment w:val="center"/>
              <w:rPr>
                <w:rFonts w:ascii="宋体" w:hAnsi="宋体" w:cs="宋体"/>
                <w:sz w:val="21"/>
                <w:szCs w:val="21"/>
                <w:lang w:bidi="ar"/>
              </w:rPr>
            </w:pPr>
            <w:r>
              <w:rPr>
                <w:rFonts w:hint="eastAsia" w:ascii="宋体" w:hAnsi="宋体" w:cs="宋体"/>
                <w:sz w:val="21"/>
                <w:szCs w:val="21"/>
                <w:lang w:bidi="ar"/>
              </w:rPr>
              <w:t>供应商结合项目需求，对项目服务实施计划的可行性、公平性、保密性、安全性等进行评价；并在报价文件中阐述其服务便利性及提供相关证明。</w:t>
            </w:r>
          </w:p>
          <w:p>
            <w:pPr>
              <w:spacing w:line="276" w:lineRule="auto"/>
              <w:jc w:val="both"/>
              <w:textAlignment w:val="center"/>
              <w:rPr>
                <w:rFonts w:ascii="宋体" w:hAnsi="宋体" w:cs="宋体"/>
                <w:sz w:val="21"/>
                <w:szCs w:val="21"/>
                <w:lang w:bidi="ar"/>
              </w:rPr>
            </w:pPr>
            <w:r>
              <w:rPr>
                <w:rFonts w:hint="eastAsia" w:ascii="宋体" w:hAnsi="宋体" w:cs="宋体"/>
                <w:sz w:val="21"/>
                <w:szCs w:val="21"/>
                <w:lang w:bidi="ar"/>
              </w:rPr>
              <w:t>（1）优得21—30分：设计方案要求编制完整清晰、目标明确、内容详细、方案全面合理可行。</w:t>
            </w:r>
          </w:p>
          <w:p>
            <w:pPr>
              <w:spacing w:line="276" w:lineRule="auto"/>
              <w:jc w:val="both"/>
              <w:textAlignment w:val="center"/>
              <w:rPr>
                <w:rFonts w:ascii="宋体" w:hAnsi="宋体" w:cs="宋体"/>
                <w:sz w:val="21"/>
                <w:szCs w:val="21"/>
                <w:lang w:bidi="ar"/>
              </w:rPr>
            </w:pPr>
            <w:r>
              <w:rPr>
                <w:rFonts w:hint="eastAsia" w:ascii="宋体" w:hAnsi="宋体" w:cs="宋体"/>
                <w:sz w:val="21"/>
                <w:szCs w:val="21"/>
                <w:lang w:bidi="ar"/>
              </w:rPr>
              <w:t>（2）良得11—20分：设计方案编制基本完整，基本能满足服务要求，方案合理可行。</w:t>
            </w:r>
          </w:p>
          <w:p>
            <w:pPr>
              <w:spacing w:line="276" w:lineRule="auto"/>
              <w:jc w:val="both"/>
              <w:textAlignment w:val="center"/>
              <w:rPr>
                <w:rFonts w:ascii="宋体" w:hAnsi="宋体" w:cs="宋体"/>
                <w:sz w:val="21"/>
                <w:szCs w:val="21"/>
                <w:lang w:bidi="ar"/>
              </w:rPr>
            </w:pPr>
            <w:r>
              <w:rPr>
                <w:rFonts w:hint="eastAsia" w:ascii="宋体" w:hAnsi="宋体" w:cs="宋体"/>
                <w:sz w:val="21"/>
                <w:szCs w:val="21"/>
                <w:lang w:bidi="ar"/>
              </w:rPr>
              <w:t>（3）一般得0-10分：设计方案编制完整性一般，对服务要求响应一般、方案基本可行。</w:t>
            </w:r>
          </w:p>
          <w:p>
            <w:pPr>
              <w:spacing w:line="276" w:lineRule="auto"/>
              <w:jc w:val="both"/>
              <w:textAlignment w:val="center"/>
              <w:rPr>
                <w:rFonts w:ascii="宋体" w:hAnsi="宋体" w:cs="宋体"/>
                <w:sz w:val="21"/>
                <w:szCs w:val="21"/>
                <w:lang w:bidi="ar"/>
              </w:rPr>
            </w:pPr>
            <w:r>
              <w:rPr>
                <w:rFonts w:hint="eastAsia" w:ascii="宋体" w:hAnsi="宋体" w:cs="宋体"/>
                <w:sz w:val="21"/>
                <w:szCs w:val="21"/>
                <w:lang w:bidi="ar"/>
              </w:rPr>
              <w:t>注：报价文件中须提供公司营业执照复印件加盖公章，未按要求提供、没有响应、没有相关阐述的不得分。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704" w:type="dxa"/>
            <w:vAlign w:val="center"/>
          </w:tcPr>
          <w:p>
            <w:pPr>
              <w:pStyle w:val="2"/>
              <w:spacing w:line="276" w:lineRule="auto"/>
              <w:jc w:val="center"/>
              <w:rPr>
                <w:rFonts w:hint="eastAsia" w:ascii="宋体" w:hAnsi="宋体" w:eastAsia="宋体" w:cs="宋体"/>
                <w:b/>
                <w:bCs/>
                <w:kern w:val="0"/>
                <w:sz w:val="21"/>
                <w:szCs w:val="21"/>
                <w:lang w:eastAsia="zh-CN" w:bidi="ar"/>
              </w:rPr>
            </w:pPr>
            <w:r>
              <w:rPr>
                <w:rFonts w:hint="eastAsia" w:ascii="宋体" w:hAnsi="宋体" w:eastAsia="宋体" w:cs="宋体"/>
                <w:b/>
                <w:bCs/>
                <w:kern w:val="0"/>
                <w:sz w:val="21"/>
                <w:szCs w:val="21"/>
                <w:lang w:val="en-US" w:eastAsia="zh-CN" w:bidi="ar"/>
              </w:rPr>
              <w:t>5</w:t>
            </w:r>
          </w:p>
        </w:tc>
        <w:tc>
          <w:tcPr>
            <w:tcW w:w="1134" w:type="dxa"/>
            <w:vAlign w:val="center"/>
          </w:tcPr>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项目报价</w:t>
            </w:r>
          </w:p>
          <w:p>
            <w:pPr>
              <w:pStyle w:val="2"/>
              <w:spacing w:line="276" w:lineRule="auto"/>
              <w:jc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（30分）</w:t>
            </w:r>
          </w:p>
        </w:tc>
        <w:tc>
          <w:tcPr>
            <w:tcW w:w="6458" w:type="dxa"/>
          </w:tcPr>
          <w:p>
            <w:pPr>
              <w:spacing w:line="276" w:lineRule="auto"/>
              <w:rPr>
                <w:rFonts w:ascii="宋体" w:hAnsi="宋体" w:cs="宋体"/>
                <w:sz w:val="21"/>
                <w:szCs w:val="21"/>
                <w:lang w:bidi="ar"/>
              </w:rPr>
            </w:pPr>
            <w:r>
              <w:rPr>
                <w:rFonts w:hint="eastAsia" w:ascii="宋体" w:hAnsi="宋体" w:cs="宋体"/>
                <w:sz w:val="21"/>
                <w:szCs w:val="21"/>
                <w:lang w:bidi="ar"/>
              </w:rPr>
              <w:t>确定基准价</w:t>
            </w:r>
          </w:p>
          <w:p>
            <w:pPr>
              <w:spacing w:line="276" w:lineRule="auto"/>
              <w:rPr>
                <w:rFonts w:ascii="宋体" w:hAnsi="宋体" w:cs="宋体"/>
                <w:sz w:val="21"/>
                <w:szCs w:val="21"/>
                <w:lang w:bidi="ar"/>
              </w:rPr>
            </w:pPr>
            <w:r>
              <w:rPr>
                <w:rFonts w:hint="eastAsia" w:ascii="宋体" w:hAnsi="宋体" w:cs="宋体"/>
                <w:sz w:val="21"/>
                <w:szCs w:val="21"/>
                <w:lang w:bidi="ar"/>
              </w:rPr>
              <w:t>当合格供应商的数量＜5家时，所有合格供应商报价的算术平均值作为基准价；当合格供应商的数量≥5家时，扣除一个最高报价和一个最低报价后的算术平均值作为基准价</w:t>
            </w:r>
          </w:p>
          <w:p>
            <w:pPr>
              <w:spacing w:line="276" w:lineRule="auto"/>
              <w:rPr>
                <w:rFonts w:ascii="宋体" w:hAnsi="宋体" w:cs="宋体"/>
                <w:sz w:val="21"/>
                <w:szCs w:val="21"/>
              </w:rPr>
            </w:pPr>
            <w:r>
              <w:rPr>
                <w:rFonts w:hint="eastAsia" w:ascii="宋体" w:hAnsi="宋体" w:cs="宋体"/>
                <w:sz w:val="21"/>
                <w:szCs w:val="21"/>
                <w:lang w:bidi="ar"/>
              </w:rPr>
              <w:t>合格供应商的报价与评审基准价相比，报价等于评审基准价得30分，每高于评审基准价1%扣 1 分，每低于评审基准价1%扣 0.8 分，不足1%按比例扣分，按插入法进行计算。</w:t>
            </w:r>
          </w:p>
        </w:tc>
      </w:tr>
    </w:tbl>
    <w:p>
      <w:pPr>
        <w:pStyle w:val="4"/>
        <w:widowControl w:val="0"/>
        <w:wordWrap w:val="0"/>
        <w:spacing w:before="0" w:after="0"/>
        <w:jc w:val="both"/>
        <w:rPr>
          <w:rFonts w:ascii="宋体" w:hAnsi="宋体" w:cs="宋体"/>
        </w:rPr>
      </w:pPr>
      <w:r>
        <w:rPr>
          <w:rFonts w:hint="eastAsia" w:ascii="宋体" w:hAnsi="宋体" w:cs="宋体"/>
          <w:b w:val="0"/>
          <w:bCs w:val="0"/>
        </w:rPr>
        <w:br w:type="page"/>
      </w:r>
      <w:bookmarkStart w:id="49" w:name="_Toc11702"/>
      <w:bookmarkStart w:id="50" w:name="_Toc3091"/>
      <w:bookmarkStart w:id="51" w:name="_Toc19963"/>
      <w:r>
        <w:rPr>
          <w:rFonts w:hint="eastAsia" w:ascii="宋体" w:hAnsi="宋体" w:cs="宋体"/>
        </w:rPr>
        <w:t>附件三：</w:t>
      </w:r>
      <w:bookmarkEnd w:id="49"/>
      <w:bookmarkEnd w:id="50"/>
      <w:bookmarkEnd w:id="51"/>
    </w:p>
    <w:p>
      <w:pPr>
        <w:pStyle w:val="2"/>
        <w:ind w:right="1200"/>
        <w:jc w:val="right"/>
        <w:rPr>
          <w:rFonts w:ascii="宋体" w:hAnsi="宋体" w:cs="宋体"/>
        </w:rPr>
      </w:pPr>
      <w:bookmarkStart w:id="52" w:name="_Hlk47596327"/>
      <w:bookmarkStart w:id="53" w:name="_Toc45532487"/>
      <w:bookmarkStart w:id="54" w:name="_Toc25060"/>
      <w:bookmarkStart w:id="55" w:name="_Toc21311"/>
      <w:bookmarkStart w:id="56" w:name="_Toc4072"/>
    </w:p>
    <w:p>
      <w:pPr>
        <w:pStyle w:val="2"/>
        <w:ind w:right="1200"/>
        <w:jc w:val="right"/>
      </w:pPr>
      <w:r>
        <w:rPr>
          <w:rFonts w:hint="eastAsia" w:ascii="宋体" w:hAnsi="宋体" w:cs="宋体"/>
        </w:rPr>
        <w:t>合同编号:</w:t>
      </w:r>
    </w:p>
    <w:p>
      <w:pPr>
        <w:pStyle w:val="29"/>
      </w:pPr>
    </w:p>
    <w:p>
      <w:pPr>
        <w:widowControl w:val="0"/>
        <w:ind w:firstLine="360"/>
        <w:jc w:val="center"/>
        <w:rPr>
          <w:rFonts w:ascii="仿宋_GB2312" w:hAnsi="宋体" w:eastAsia="仿宋_GB2312"/>
          <w:b/>
          <w:kern w:val="2"/>
          <w:sz w:val="36"/>
          <w:szCs w:val="36"/>
        </w:rPr>
      </w:pPr>
      <w:r>
        <w:rPr>
          <w:rFonts w:hint="eastAsia" w:ascii="仿宋_GB2312" w:hAnsi="宋体" w:eastAsia="仿宋_GB2312"/>
          <w:b/>
          <w:kern w:val="2"/>
          <w:sz w:val="36"/>
          <w:szCs w:val="36"/>
        </w:rPr>
        <w:t>广州国有资产管理集团有限公司</w:t>
      </w:r>
    </w:p>
    <w:p>
      <w:pPr>
        <w:widowControl w:val="0"/>
        <w:ind w:firstLine="360"/>
        <w:jc w:val="center"/>
        <w:rPr>
          <w:rFonts w:ascii="仿宋_GB2312" w:hAnsi="宋体" w:eastAsia="仿宋_GB2312"/>
          <w:b/>
          <w:kern w:val="2"/>
          <w:sz w:val="36"/>
          <w:szCs w:val="36"/>
        </w:rPr>
      </w:pPr>
      <w:r>
        <w:rPr>
          <w:rFonts w:hint="eastAsia" w:ascii="仿宋_GB2312" w:hAnsi="宋体" w:eastAsia="仿宋_GB2312"/>
          <w:b/>
          <w:kern w:val="2"/>
          <w:sz w:val="36"/>
          <w:szCs w:val="36"/>
        </w:rPr>
        <w:t>与【　　　　　】</w:t>
      </w:r>
    </w:p>
    <w:p>
      <w:pPr>
        <w:pStyle w:val="2"/>
      </w:pPr>
    </w:p>
    <w:p>
      <w:pPr>
        <w:pStyle w:val="2"/>
      </w:pPr>
    </w:p>
    <w:p>
      <w:pPr>
        <w:pStyle w:val="2"/>
      </w:pPr>
    </w:p>
    <w:p>
      <w:pPr>
        <w:widowControl w:val="0"/>
        <w:ind w:firstLine="360"/>
        <w:jc w:val="center"/>
        <w:rPr>
          <w:rFonts w:ascii="宋体" w:hAnsi="宋体"/>
          <w:b/>
          <w:kern w:val="2"/>
          <w:sz w:val="72"/>
          <w:szCs w:val="72"/>
        </w:rPr>
      </w:pPr>
      <w:r>
        <w:rPr>
          <w:rFonts w:hint="eastAsia" w:ascii="宋体" w:hAnsi="宋体"/>
          <w:b/>
          <w:kern w:val="2"/>
          <w:sz w:val="72"/>
          <w:szCs w:val="72"/>
        </w:rPr>
        <w:t>建设工程设计服务合同</w:t>
      </w:r>
    </w:p>
    <w:p>
      <w:pPr>
        <w:spacing w:before="156" w:after="156" w:line="360" w:lineRule="auto"/>
        <w:ind w:firstLine="643"/>
        <w:contextualSpacing/>
        <w:jc w:val="right"/>
        <w:rPr>
          <w:rFonts w:ascii="仿宋" w:hAnsi="仿宋" w:eastAsia="仿宋" w:cs="宋体"/>
          <w:b/>
          <w:bCs/>
          <w:color w:val="000000"/>
          <w:sz w:val="32"/>
          <w:szCs w:val="32"/>
        </w:rPr>
      </w:pPr>
    </w:p>
    <w:p>
      <w:pPr>
        <w:rPr>
          <w:rFonts w:ascii="宋体" w:hAnsi="宋体" w:cs="宋体"/>
        </w:rPr>
      </w:pPr>
      <w:r>
        <w:rPr>
          <w:rFonts w:hint="eastAsia" w:ascii="宋体" w:hAnsi="宋体" w:cs="宋体"/>
        </w:rPr>
        <w:br w:type="page"/>
      </w:r>
    </w:p>
    <w:p>
      <w:pPr>
        <w:widowControl w:val="0"/>
        <w:spacing w:line="360" w:lineRule="auto"/>
        <w:ind w:firstLine="357"/>
        <w:jc w:val="center"/>
        <w:rPr>
          <w:rFonts w:ascii="宋体" w:hAnsi="宋体" w:cs="宋体"/>
          <w:kern w:val="2"/>
        </w:rPr>
      </w:pPr>
      <w:bookmarkStart w:id="57" w:name="_Hlk161157357"/>
      <w:r>
        <w:rPr>
          <w:rFonts w:hint="eastAsia" w:ascii="宋体" w:hAnsi="宋体" w:cs="宋体"/>
          <w:kern w:val="2"/>
        </w:rPr>
        <w:t>建设工程设计服务合同</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本合同由以下双方于2024年</w:t>
      </w:r>
      <w:r>
        <w:rPr>
          <w:rFonts w:hint="eastAsia" w:ascii="宋体" w:hAnsi="宋体" w:cs="宋体"/>
          <w:kern w:val="2"/>
          <w:u w:val="single"/>
        </w:rPr>
        <w:t xml:space="preserve">    </w:t>
      </w:r>
      <w:r>
        <w:rPr>
          <w:rFonts w:hint="eastAsia" w:ascii="宋体" w:hAnsi="宋体" w:cs="宋体"/>
          <w:kern w:val="2"/>
        </w:rPr>
        <w:t>月</w:t>
      </w:r>
      <w:r>
        <w:rPr>
          <w:rFonts w:hint="eastAsia" w:ascii="宋体" w:hAnsi="宋体" w:cs="宋体"/>
          <w:kern w:val="2"/>
          <w:u w:val="single"/>
        </w:rPr>
        <w:t xml:space="preserve">    </w:t>
      </w:r>
      <w:r>
        <w:rPr>
          <w:rFonts w:hint="eastAsia" w:ascii="宋体" w:hAnsi="宋体" w:cs="宋体"/>
          <w:kern w:val="2"/>
        </w:rPr>
        <w:t>日在广州市</w:t>
      </w:r>
      <w:r>
        <w:rPr>
          <w:rFonts w:hint="eastAsia" w:ascii="宋体" w:hAnsi="宋体" w:cs="宋体"/>
          <w:kern w:val="2"/>
          <w:u w:val="single"/>
        </w:rPr>
        <w:t xml:space="preserve">    </w:t>
      </w:r>
      <w:r>
        <w:rPr>
          <w:rFonts w:hint="eastAsia" w:ascii="宋体" w:hAnsi="宋体" w:cs="宋体"/>
          <w:kern w:val="2"/>
        </w:rPr>
        <w:t>签署：</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甲方：</w:t>
      </w:r>
      <w:r>
        <w:rPr>
          <w:rFonts w:hint="eastAsia" w:ascii="宋体" w:hAnsi="宋体" w:cs="宋体"/>
          <w:kern w:val="2"/>
          <w:u w:val="single"/>
        </w:rPr>
        <w:t xml:space="preserve">                          </w:t>
      </w:r>
      <w:r>
        <w:rPr>
          <w:rFonts w:hint="eastAsia" w:ascii="宋体" w:hAnsi="宋体" w:cs="宋体"/>
          <w:kern w:val="2"/>
        </w:rPr>
        <w:t>（发包人）</w:t>
      </w:r>
    </w:p>
    <w:p>
      <w:pPr>
        <w:widowControl w:val="0"/>
        <w:spacing w:line="360" w:lineRule="auto"/>
        <w:ind w:firstLine="357"/>
        <w:jc w:val="both"/>
        <w:rPr>
          <w:rFonts w:ascii="宋体" w:hAnsi="宋体" w:cs="宋体"/>
          <w:kern w:val="2"/>
        </w:rPr>
      </w:pPr>
      <w:r>
        <w:rPr>
          <w:rFonts w:hint="eastAsia" w:ascii="宋体" w:hAnsi="宋体" w:cs="宋体"/>
          <w:kern w:val="2"/>
        </w:rPr>
        <w:t xml:space="preserve">法定代表人：                    </w:t>
      </w:r>
    </w:p>
    <w:p>
      <w:pPr>
        <w:widowControl w:val="0"/>
        <w:spacing w:line="360" w:lineRule="auto"/>
        <w:ind w:firstLine="357"/>
        <w:jc w:val="both"/>
        <w:rPr>
          <w:rFonts w:ascii="宋体" w:hAnsi="宋体" w:cs="宋体"/>
          <w:kern w:val="2"/>
        </w:rPr>
      </w:pPr>
      <w:r>
        <w:rPr>
          <w:rFonts w:hint="eastAsia" w:ascii="宋体" w:hAnsi="宋体" w:cs="宋体"/>
          <w:kern w:val="2"/>
        </w:rPr>
        <w:t xml:space="preserve">地址：                          </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乙方：</w:t>
      </w:r>
      <w:r>
        <w:rPr>
          <w:rFonts w:hint="eastAsia" w:ascii="宋体" w:hAnsi="宋体" w:cs="宋体"/>
          <w:kern w:val="2"/>
          <w:u w:val="single"/>
        </w:rPr>
        <w:t xml:space="preserve">                          </w:t>
      </w:r>
      <w:r>
        <w:rPr>
          <w:rFonts w:hint="eastAsia" w:ascii="宋体" w:hAnsi="宋体" w:cs="宋体"/>
          <w:kern w:val="2"/>
        </w:rPr>
        <w:t>（承包人）</w:t>
      </w:r>
    </w:p>
    <w:p>
      <w:pPr>
        <w:widowControl w:val="0"/>
        <w:spacing w:line="360" w:lineRule="auto"/>
        <w:ind w:firstLine="357"/>
        <w:jc w:val="both"/>
        <w:rPr>
          <w:rFonts w:ascii="宋体" w:hAnsi="宋体" w:cs="宋体"/>
          <w:kern w:val="2"/>
        </w:rPr>
      </w:pPr>
      <w:r>
        <w:rPr>
          <w:rFonts w:hint="eastAsia" w:ascii="宋体" w:hAnsi="宋体" w:cs="宋体"/>
          <w:kern w:val="2"/>
        </w:rPr>
        <w:t xml:space="preserve">法定代表人:                     </w:t>
      </w:r>
    </w:p>
    <w:p>
      <w:pPr>
        <w:widowControl w:val="0"/>
        <w:spacing w:line="360" w:lineRule="auto"/>
        <w:ind w:firstLine="357"/>
        <w:jc w:val="both"/>
        <w:rPr>
          <w:rFonts w:ascii="宋体" w:hAnsi="宋体" w:cs="宋体"/>
          <w:kern w:val="2"/>
        </w:rPr>
      </w:pPr>
      <w:r>
        <w:rPr>
          <w:rFonts w:hint="eastAsia" w:ascii="宋体" w:hAnsi="宋体" w:cs="宋体"/>
          <w:kern w:val="2"/>
        </w:rPr>
        <w:t xml:space="preserve">地址：                          </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根据《中华人民共和国民法典》、《中华人民共和国建筑法》及相关法律、法规，甲乙双方友好协商，就甲方荔湾区上九路88号等四处物业整改加固工程项目（以下简称“整改加固项目”）的初步设计（含概算）事宜，签订本合同。</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第一条 委托设计目的</w:t>
      </w:r>
    </w:p>
    <w:p>
      <w:pPr>
        <w:widowControl w:val="0"/>
        <w:spacing w:line="360" w:lineRule="auto"/>
        <w:ind w:firstLine="357"/>
        <w:jc w:val="both"/>
        <w:rPr>
          <w:rFonts w:ascii="宋体" w:hAnsi="宋体" w:cs="宋体"/>
          <w:kern w:val="2"/>
        </w:rPr>
      </w:pPr>
      <w:r>
        <w:rPr>
          <w:rFonts w:hint="eastAsia" w:ascii="宋体" w:hAnsi="宋体" w:cs="宋体"/>
          <w:kern w:val="2"/>
        </w:rPr>
        <w:t>乙方接受甲方委托，为甲方</w:t>
      </w:r>
      <w:bookmarkStart w:id="58" w:name="_Hlk160456193"/>
      <w:r>
        <w:rPr>
          <w:rFonts w:hint="eastAsia" w:ascii="宋体" w:hAnsi="宋体" w:cs="宋体"/>
          <w:kern w:val="2"/>
        </w:rPr>
        <w:t>荔湾区上九路88号等四处物业</w:t>
      </w:r>
      <w:bookmarkEnd w:id="58"/>
      <w:r>
        <w:rPr>
          <w:rFonts w:hint="eastAsia" w:ascii="宋体" w:hAnsi="宋体" w:cs="宋体"/>
          <w:kern w:val="2"/>
        </w:rPr>
        <w:t>整改加固工程项目提供初步设计（含概算）服务。</w:t>
      </w:r>
    </w:p>
    <w:p>
      <w:pPr>
        <w:widowControl w:val="0"/>
        <w:spacing w:line="360" w:lineRule="auto"/>
        <w:ind w:firstLine="357"/>
        <w:jc w:val="both"/>
        <w:rPr>
          <w:rFonts w:ascii="宋体" w:hAnsi="宋体" w:cs="宋体"/>
          <w:kern w:val="2"/>
        </w:rPr>
      </w:pPr>
      <w:r>
        <w:rPr>
          <w:rFonts w:hint="eastAsia" w:ascii="宋体" w:hAnsi="宋体" w:cs="宋体"/>
          <w:kern w:val="2"/>
        </w:rPr>
        <w:t>第二条 设计对象及范围</w:t>
      </w:r>
    </w:p>
    <w:p>
      <w:pPr>
        <w:widowControl w:val="0"/>
        <w:spacing w:line="360" w:lineRule="auto"/>
        <w:ind w:firstLine="357"/>
        <w:jc w:val="both"/>
        <w:rPr>
          <w:rFonts w:ascii="宋体" w:hAnsi="宋体" w:cs="宋体"/>
          <w:kern w:val="2"/>
        </w:rPr>
      </w:pPr>
      <w:r>
        <w:rPr>
          <w:rFonts w:hint="eastAsia" w:ascii="宋体" w:hAnsi="宋体" w:cs="宋体"/>
          <w:kern w:val="2"/>
        </w:rPr>
        <w:t>荔湾区上九路88号等四处物业（详见附件1）。</w:t>
      </w:r>
    </w:p>
    <w:p>
      <w:pPr>
        <w:widowControl w:val="0"/>
        <w:spacing w:line="360" w:lineRule="auto"/>
        <w:ind w:firstLine="357"/>
        <w:jc w:val="both"/>
        <w:rPr>
          <w:rFonts w:ascii="宋体" w:hAnsi="宋体" w:cs="宋体"/>
          <w:kern w:val="2"/>
        </w:rPr>
      </w:pPr>
      <w:r>
        <w:rPr>
          <w:rFonts w:hint="eastAsia" w:ascii="宋体" w:hAnsi="宋体" w:cs="宋体"/>
          <w:kern w:val="2"/>
        </w:rPr>
        <w:t>第三条 经办设计人员</w:t>
      </w:r>
    </w:p>
    <w:p>
      <w:pPr>
        <w:widowControl w:val="0"/>
        <w:spacing w:line="360" w:lineRule="auto"/>
        <w:ind w:firstLine="357"/>
        <w:jc w:val="both"/>
        <w:rPr>
          <w:rFonts w:ascii="宋体" w:hAnsi="宋体" w:cs="宋体"/>
          <w:kern w:val="2"/>
        </w:rPr>
      </w:pPr>
      <w:r>
        <w:rPr>
          <w:rFonts w:hint="eastAsia" w:ascii="宋体" w:hAnsi="宋体" w:cs="宋体"/>
          <w:kern w:val="2"/>
        </w:rPr>
        <w:t>3.1 乙方指派专业设计人员（详见附件2）提供本合同项下的初步设计专业服务，设计人员需具备相关资质。</w:t>
      </w:r>
    </w:p>
    <w:p>
      <w:pPr>
        <w:widowControl w:val="0"/>
        <w:spacing w:line="360" w:lineRule="auto"/>
        <w:ind w:firstLine="357"/>
        <w:jc w:val="both"/>
        <w:rPr>
          <w:rFonts w:ascii="宋体" w:hAnsi="宋体" w:cs="宋体"/>
          <w:kern w:val="2"/>
        </w:rPr>
      </w:pPr>
      <w:r>
        <w:rPr>
          <w:rFonts w:hint="eastAsia" w:ascii="宋体" w:hAnsi="宋体" w:cs="宋体"/>
          <w:kern w:val="2"/>
        </w:rPr>
        <w:t>3.2 未经甲方书面许可，乙方不得另行指派他人参与提供本合同项下的设计服务，也不得自行更换前款约定的设计专业人员。</w:t>
      </w:r>
    </w:p>
    <w:p>
      <w:pPr>
        <w:widowControl w:val="0"/>
        <w:spacing w:line="360" w:lineRule="auto"/>
        <w:ind w:firstLine="357"/>
        <w:jc w:val="both"/>
        <w:rPr>
          <w:rFonts w:ascii="宋体" w:hAnsi="宋体" w:cs="宋体"/>
          <w:kern w:val="2"/>
        </w:rPr>
      </w:pPr>
      <w:r>
        <w:rPr>
          <w:rFonts w:hint="eastAsia" w:ascii="宋体" w:hAnsi="宋体" w:cs="宋体"/>
          <w:kern w:val="2"/>
        </w:rPr>
        <w:t>3.3 设计项目需要增派人员的，乙方应及时增派有设计资质的人员以便完成设计工作，并将上述设计人员的相关资质报甲方备案，该等增派人员的资质不得低于此前指派专业设计人员的资质。</w:t>
      </w:r>
    </w:p>
    <w:p>
      <w:pPr>
        <w:widowControl w:val="0"/>
        <w:spacing w:line="360" w:lineRule="auto"/>
        <w:ind w:firstLine="357"/>
        <w:jc w:val="both"/>
        <w:rPr>
          <w:rFonts w:ascii="宋体" w:hAnsi="宋体" w:cs="宋体"/>
          <w:kern w:val="2"/>
        </w:rPr>
      </w:pPr>
      <w:r>
        <w:rPr>
          <w:rFonts w:hint="eastAsia" w:ascii="宋体" w:hAnsi="宋体" w:cs="宋体"/>
          <w:kern w:val="2"/>
        </w:rPr>
        <w:t>3.4 乙方不得将依据本合同承担的设计事项向任何第三方进行转包或分包。</w:t>
      </w:r>
    </w:p>
    <w:p>
      <w:pPr>
        <w:widowControl w:val="0"/>
        <w:spacing w:line="360" w:lineRule="auto"/>
        <w:ind w:firstLine="357"/>
        <w:jc w:val="both"/>
        <w:rPr>
          <w:rFonts w:ascii="宋体" w:hAnsi="宋体" w:cs="宋体"/>
          <w:kern w:val="2"/>
        </w:rPr>
      </w:pPr>
      <w:r>
        <w:rPr>
          <w:rFonts w:hint="eastAsia" w:ascii="宋体" w:hAnsi="宋体" w:cs="宋体"/>
          <w:kern w:val="2"/>
        </w:rPr>
        <w:t>第四条 设计服务工作内容及范围</w:t>
      </w:r>
    </w:p>
    <w:p>
      <w:pPr>
        <w:widowControl w:val="0"/>
        <w:spacing w:line="360" w:lineRule="auto"/>
        <w:ind w:firstLine="357"/>
        <w:jc w:val="both"/>
        <w:rPr>
          <w:rFonts w:ascii="宋体" w:hAnsi="宋体" w:cs="宋体"/>
          <w:kern w:val="2"/>
        </w:rPr>
      </w:pPr>
      <w:r>
        <w:rPr>
          <w:rFonts w:hint="eastAsia" w:ascii="宋体" w:hAnsi="宋体" w:cs="宋体"/>
          <w:kern w:val="2"/>
        </w:rPr>
        <w:t>4.1 乙方根据甲方提供的《房屋可靠性及抗震及鉴定报告》（广东省院鉴字〔2023〕0070/0071/0072/0073），完成荔湾区上九路88号等四处物业整改加固工程项目的初步设计及相关工作，包括但不限于对项目进行现场勘查、结构鉴定补充检查（根据实际需要或甲方要求）、初步设计、编制概算及制作验收标准等。</w:t>
      </w:r>
    </w:p>
    <w:p>
      <w:pPr>
        <w:widowControl w:val="0"/>
        <w:spacing w:line="360" w:lineRule="auto"/>
        <w:ind w:firstLine="357"/>
        <w:jc w:val="both"/>
        <w:rPr>
          <w:rFonts w:ascii="宋体" w:hAnsi="宋体" w:cs="宋体"/>
          <w:kern w:val="2"/>
        </w:rPr>
      </w:pPr>
      <w:r>
        <w:rPr>
          <w:rFonts w:hint="eastAsia" w:ascii="宋体" w:hAnsi="宋体" w:cs="宋体"/>
          <w:kern w:val="2"/>
        </w:rPr>
        <w:t>第五条 设计服务程序和工作要求</w:t>
      </w:r>
    </w:p>
    <w:p>
      <w:pPr>
        <w:widowControl w:val="0"/>
        <w:spacing w:line="360" w:lineRule="auto"/>
        <w:ind w:firstLine="357"/>
        <w:jc w:val="both"/>
        <w:rPr>
          <w:rFonts w:ascii="宋体" w:hAnsi="宋体" w:cs="宋体"/>
          <w:kern w:val="2"/>
        </w:rPr>
      </w:pPr>
      <w:r>
        <w:rPr>
          <w:rFonts w:hint="eastAsia" w:ascii="宋体" w:hAnsi="宋体" w:cs="宋体"/>
          <w:kern w:val="2"/>
        </w:rPr>
        <w:t>5.1 甲方应在本合同签订后向乙方提供与工程设计相关的文件资料、权属证明，包括但不限房屋鉴定检测报告、房产证等。</w:t>
      </w:r>
    </w:p>
    <w:p>
      <w:pPr>
        <w:widowControl w:val="0"/>
        <w:spacing w:line="360" w:lineRule="auto"/>
        <w:ind w:firstLine="357"/>
        <w:jc w:val="both"/>
        <w:rPr>
          <w:rFonts w:ascii="宋体" w:hAnsi="宋体" w:cs="宋体"/>
          <w:kern w:val="2"/>
        </w:rPr>
      </w:pPr>
      <w:r>
        <w:rPr>
          <w:rFonts w:hint="eastAsia" w:ascii="宋体" w:hAnsi="宋体" w:cs="宋体"/>
          <w:kern w:val="2"/>
        </w:rPr>
        <w:t>5.2 乙方应向甲方出具符合国家法律法规、国家、行业和地方建筑设计标准及设计文件编制深度的初步设计文件、结构鉴定补充检查报告（根据实际需要或甲方要求）以及验收标准文件等。</w:t>
      </w:r>
    </w:p>
    <w:p>
      <w:pPr>
        <w:widowControl w:val="0"/>
        <w:spacing w:line="360" w:lineRule="auto"/>
        <w:ind w:firstLine="357"/>
        <w:jc w:val="both"/>
        <w:rPr>
          <w:rFonts w:ascii="宋体" w:hAnsi="宋体" w:cs="宋体"/>
          <w:kern w:val="2"/>
        </w:rPr>
      </w:pPr>
      <w:r>
        <w:rPr>
          <w:rFonts w:hint="eastAsia" w:ascii="宋体" w:hAnsi="宋体" w:cs="宋体"/>
          <w:kern w:val="2"/>
        </w:rPr>
        <w:t>5.3 乙方应在本合同约定的期限届满前向甲方提供正式的整改加固工程项目的初步设计文件（一式  份），结构鉴定补充检查报告（根据实际需要或甲方要求）（一式  份），验收标准文件（一式  份）。初步设计文件应包括但不限于设计说明书、有关专业的设计图纸（可单独成册）、主要设备或材料表、工程概算书（可单独成册）、有关专业计算书等。设计文件中选用的材料、构配件和设备，应当注明规格、型号、性能等技术指标，其质量要求必须符合国家规定的标准。</w:t>
      </w:r>
    </w:p>
    <w:p>
      <w:pPr>
        <w:widowControl w:val="0"/>
        <w:spacing w:line="360" w:lineRule="auto"/>
        <w:ind w:firstLine="357"/>
        <w:jc w:val="both"/>
        <w:rPr>
          <w:rFonts w:ascii="宋体" w:hAnsi="宋体" w:cs="宋体"/>
          <w:kern w:val="2"/>
        </w:rPr>
      </w:pPr>
      <w:r>
        <w:rPr>
          <w:rFonts w:hint="eastAsia" w:ascii="宋体" w:hAnsi="宋体" w:cs="宋体"/>
          <w:kern w:val="2"/>
        </w:rPr>
        <w:t>5.4 乙方应保证设计文件的质量，初步设计文件应符合国家法律规定、国家、行业和地方建筑设计标准及编制深度的要求，且满足甲方初步设计审核要求及编制施工图设计文件的需要。</w:t>
      </w:r>
    </w:p>
    <w:p>
      <w:pPr>
        <w:widowControl w:val="0"/>
        <w:spacing w:line="360" w:lineRule="auto"/>
        <w:ind w:firstLine="357"/>
        <w:jc w:val="both"/>
        <w:rPr>
          <w:rFonts w:ascii="宋体" w:hAnsi="宋体" w:cs="宋体"/>
          <w:kern w:val="2"/>
        </w:rPr>
      </w:pPr>
      <w:r>
        <w:rPr>
          <w:rFonts w:hint="eastAsia" w:ascii="宋体" w:hAnsi="宋体" w:cs="宋体"/>
          <w:kern w:val="2"/>
        </w:rPr>
        <w:t>第六条 委托期限</w:t>
      </w:r>
    </w:p>
    <w:p>
      <w:pPr>
        <w:widowControl w:val="0"/>
        <w:spacing w:line="360" w:lineRule="auto"/>
        <w:ind w:firstLine="357"/>
        <w:jc w:val="both"/>
        <w:rPr>
          <w:rFonts w:ascii="宋体" w:hAnsi="宋体" w:cs="宋体"/>
          <w:kern w:val="2"/>
        </w:rPr>
      </w:pPr>
      <w:r>
        <w:rPr>
          <w:rFonts w:hint="eastAsia" w:ascii="宋体" w:hAnsi="宋体" w:cs="宋体"/>
          <w:kern w:val="2"/>
        </w:rPr>
        <w:t>委托期限自</w:t>
      </w:r>
      <w:r>
        <w:rPr>
          <w:rFonts w:hint="eastAsia" w:ascii="宋体" w:hAnsi="宋体" w:cs="宋体"/>
          <w:kern w:val="2"/>
          <w:u w:val="single"/>
        </w:rPr>
        <w:t xml:space="preserve">    </w:t>
      </w:r>
      <w:r>
        <w:rPr>
          <w:rFonts w:hint="eastAsia" w:ascii="宋体" w:hAnsi="宋体" w:cs="宋体"/>
          <w:kern w:val="2"/>
        </w:rPr>
        <w:t>年</w:t>
      </w:r>
      <w:r>
        <w:rPr>
          <w:rFonts w:hint="eastAsia" w:ascii="宋体" w:hAnsi="宋体" w:cs="宋体"/>
          <w:kern w:val="2"/>
          <w:u w:val="single"/>
        </w:rPr>
        <w:t xml:space="preserve">    </w:t>
      </w:r>
      <w:r>
        <w:rPr>
          <w:rFonts w:hint="eastAsia" w:ascii="宋体" w:hAnsi="宋体" w:cs="宋体"/>
          <w:kern w:val="2"/>
        </w:rPr>
        <w:t>月</w:t>
      </w:r>
      <w:r>
        <w:rPr>
          <w:rFonts w:hint="eastAsia" w:ascii="宋体" w:hAnsi="宋体" w:cs="宋体"/>
          <w:kern w:val="2"/>
          <w:u w:val="single"/>
        </w:rPr>
        <w:t xml:space="preserve">    </w:t>
      </w:r>
      <w:r>
        <w:rPr>
          <w:rFonts w:hint="eastAsia" w:ascii="宋体" w:hAnsi="宋体" w:cs="宋体"/>
          <w:kern w:val="2"/>
        </w:rPr>
        <w:t>日起至</w:t>
      </w:r>
      <w:r>
        <w:rPr>
          <w:rFonts w:hint="eastAsia" w:ascii="宋体" w:hAnsi="宋体" w:cs="宋体"/>
          <w:kern w:val="2"/>
          <w:u w:val="single"/>
        </w:rPr>
        <w:t xml:space="preserve">    </w:t>
      </w:r>
      <w:r>
        <w:rPr>
          <w:rFonts w:hint="eastAsia" w:ascii="宋体" w:hAnsi="宋体" w:cs="宋体"/>
          <w:kern w:val="2"/>
        </w:rPr>
        <w:t>年</w:t>
      </w:r>
      <w:r>
        <w:rPr>
          <w:rFonts w:hint="eastAsia" w:ascii="宋体" w:hAnsi="宋体" w:cs="宋体"/>
          <w:kern w:val="2"/>
          <w:u w:val="single"/>
        </w:rPr>
        <w:t xml:space="preserve">    </w:t>
      </w:r>
      <w:r>
        <w:rPr>
          <w:rFonts w:hint="eastAsia" w:ascii="宋体" w:hAnsi="宋体" w:cs="宋体"/>
          <w:kern w:val="2"/>
        </w:rPr>
        <w:t>月</w:t>
      </w:r>
      <w:r>
        <w:rPr>
          <w:rFonts w:hint="eastAsia" w:ascii="宋体" w:hAnsi="宋体" w:cs="宋体"/>
          <w:kern w:val="2"/>
          <w:u w:val="single"/>
        </w:rPr>
        <w:t xml:space="preserve">    </w:t>
      </w:r>
      <w:r>
        <w:rPr>
          <w:rFonts w:hint="eastAsia" w:ascii="宋体" w:hAnsi="宋体" w:cs="宋体"/>
          <w:kern w:val="2"/>
        </w:rPr>
        <w:t>日止。</w:t>
      </w:r>
    </w:p>
    <w:p>
      <w:pPr>
        <w:widowControl w:val="0"/>
        <w:spacing w:line="360" w:lineRule="auto"/>
        <w:ind w:firstLine="357"/>
        <w:jc w:val="both"/>
        <w:rPr>
          <w:rFonts w:ascii="宋体" w:hAnsi="宋体" w:cs="宋体"/>
          <w:kern w:val="2"/>
        </w:rPr>
      </w:pPr>
      <w:r>
        <w:rPr>
          <w:rFonts w:hint="eastAsia" w:ascii="宋体" w:hAnsi="宋体" w:cs="宋体"/>
          <w:kern w:val="2"/>
        </w:rPr>
        <w:t>第七条 设计费用及其支付</w:t>
      </w:r>
    </w:p>
    <w:p>
      <w:pPr>
        <w:widowControl w:val="0"/>
        <w:spacing w:line="360" w:lineRule="auto"/>
        <w:ind w:firstLine="357"/>
        <w:jc w:val="both"/>
        <w:rPr>
          <w:rFonts w:ascii="宋体" w:hAnsi="宋体" w:cs="宋体"/>
          <w:kern w:val="2"/>
        </w:rPr>
      </w:pPr>
      <w:r>
        <w:rPr>
          <w:rFonts w:hint="eastAsia" w:ascii="宋体" w:hAnsi="宋体" w:cs="宋体"/>
          <w:kern w:val="2"/>
        </w:rPr>
        <w:t>7.1 根据国家有关规定，本合同计价方式为总价包干，双方确认设计费用为人民币</w:t>
      </w:r>
      <w:r>
        <w:rPr>
          <w:rFonts w:hint="eastAsia" w:ascii="宋体" w:hAnsi="宋体" w:cs="宋体"/>
          <w:kern w:val="2"/>
          <w:u w:val="single"/>
        </w:rPr>
        <w:t xml:space="preserve">   </w:t>
      </w:r>
      <w:r>
        <w:rPr>
          <w:rFonts w:hint="eastAsia" w:ascii="宋体" w:hAnsi="宋体" w:cs="宋体"/>
          <w:kern w:val="2"/>
        </w:rPr>
        <w:t xml:space="preserve">元整（小写：¥ </w:t>
      </w:r>
      <w:r>
        <w:rPr>
          <w:rFonts w:hint="eastAsia" w:ascii="宋体" w:hAnsi="宋体" w:cs="宋体"/>
          <w:kern w:val="2"/>
          <w:u w:val="single"/>
        </w:rPr>
        <w:t xml:space="preserve">      </w:t>
      </w:r>
      <w:r>
        <w:rPr>
          <w:rFonts w:hint="eastAsia" w:ascii="宋体" w:hAnsi="宋体" w:cs="宋体"/>
          <w:kern w:val="2"/>
        </w:rPr>
        <w:t>）。</w:t>
      </w:r>
    </w:p>
    <w:p>
      <w:pPr>
        <w:widowControl w:val="0"/>
        <w:spacing w:line="360" w:lineRule="auto"/>
        <w:ind w:firstLine="357"/>
        <w:jc w:val="both"/>
        <w:rPr>
          <w:rFonts w:ascii="宋体" w:hAnsi="宋体" w:cs="宋体"/>
          <w:kern w:val="2"/>
        </w:rPr>
      </w:pPr>
      <w:r>
        <w:rPr>
          <w:rFonts w:hint="eastAsia" w:ascii="宋体" w:hAnsi="宋体" w:cs="宋体"/>
          <w:kern w:val="2"/>
        </w:rPr>
        <w:t xml:space="preserve"> 设计费用已包含乙方为履行本合同约定义务所需的一切费用，包括但不限于设计费、人工费、差旅费、工本费、制作费、打印费、保险费、税金等。除合同另有约定外，对乙方依约完成本合同项下的全部工作，甲方不另行支付任何费用。</w:t>
      </w:r>
    </w:p>
    <w:p>
      <w:pPr>
        <w:widowControl w:val="0"/>
        <w:spacing w:line="360" w:lineRule="auto"/>
        <w:ind w:firstLine="357"/>
        <w:jc w:val="both"/>
        <w:rPr>
          <w:rFonts w:ascii="宋体" w:hAnsi="宋体" w:cs="宋体"/>
          <w:kern w:val="2"/>
        </w:rPr>
      </w:pPr>
      <w:r>
        <w:rPr>
          <w:rFonts w:hint="eastAsia" w:ascii="宋体" w:hAnsi="宋体" w:cs="宋体"/>
          <w:kern w:val="2"/>
        </w:rPr>
        <w:t>设计变更费用已包含在合同价中，初步设计阶段的任何形式、类型、规模的设计变更均不另行支付设计变更费用及相关图纸费用，乙方在响应报价中须充分考虑。</w:t>
      </w:r>
    </w:p>
    <w:p>
      <w:pPr>
        <w:widowControl w:val="0"/>
        <w:spacing w:line="360" w:lineRule="auto"/>
        <w:ind w:firstLine="357"/>
        <w:jc w:val="both"/>
        <w:rPr>
          <w:rFonts w:ascii="宋体" w:hAnsi="宋体" w:cs="宋体"/>
          <w:kern w:val="2"/>
        </w:rPr>
      </w:pPr>
      <w:r>
        <w:rPr>
          <w:rFonts w:hint="eastAsia" w:ascii="宋体" w:hAnsi="宋体" w:cs="宋体"/>
          <w:kern w:val="2"/>
        </w:rPr>
        <w:t>7.2 双方确认：</w:t>
      </w:r>
    </w:p>
    <w:p>
      <w:pPr>
        <w:widowControl w:val="0"/>
        <w:spacing w:line="360" w:lineRule="auto"/>
        <w:ind w:firstLine="357"/>
        <w:jc w:val="both"/>
        <w:rPr>
          <w:rFonts w:ascii="宋体" w:hAnsi="宋体" w:cs="宋体"/>
          <w:kern w:val="2"/>
        </w:rPr>
      </w:pPr>
      <w:r>
        <w:rPr>
          <w:rFonts w:hint="eastAsia" w:ascii="宋体" w:hAnsi="宋体" w:cs="宋体"/>
          <w:kern w:val="2"/>
        </w:rPr>
        <w:t>设计费用由甲方分两期向乙方支付。</w:t>
      </w:r>
    </w:p>
    <w:p>
      <w:pPr>
        <w:widowControl w:val="0"/>
        <w:spacing w:line="360" w:lineRule="auto"/>
        <w:ind w:firstLine="357"/>
        <w:jc w:val="both"/>
        <w:rPr>
          <w:rFonts w:ascii="宋体" w:hAnsi="宋体" w:cs="宋体"/>
          <w:kern w:val="2"/>
        </w:rPr>
      </w:pPr>
      <w:r>
        <w:rPr>
          <w:rFonts w:hint="eastAsia" w:ascii="宋体" w:hAnsi="宋体" w:cs="宋体"/>
          <w:kern w:val="2"/>
        </w:rPr>
        <w:t>第一期设计费用：甲方同意于本合同生效之日起10个工作日内向乙方支付20%的前期设计费用。</w:t>
      </w:r>
    </w:p>
    <w:p>
      <w:pPr>
        <w:widowControl w:val="0"/>
        <w:spacing w:line="360" w:lineRule="auto"/>
        <w:ind w:firstLine="357"/>
        <w:jc w:val="both"/>
        <w:rPr>
          <w:rFonts w:ascii="宋体" w:hAnsi="宋体" w:cs="宋体"/>
          <w:kern w:val="2"/>
        </w:rPr>
      </w:pPr>
      <w:r>
        <w:rPr>
          <w:rFonts w:hint="eastAsia" w:ascii="宋体" w:hAnsi="宋体" w:cs="宋体"/>
          <w:kern w:val="2"/>
        </w:rPr>
        <w:t>第二期设计费用：甲方同意于取得正式的初步设计文件及相关资料，并经甲方审核通过后，双方对设计费用进行结算，结算金额确认后30个工作日内一次性向乙方支付剩余设计费用。</w:t>
      </w:r>
    </w:p>
    <w:p>
      <w:pPr>
        <w:widowControl w:val="0"/>
        <w:spacing w:line="360" w:lineRule="auto"/>
        <w:ind w:firstLine="357"/>
        <w:jc w:val="both"/>
        <w:rPr>
          <w:rFonts w:ascii="宋体" w:hAnsi="宋体" w:cs="宋体"/>
          <w:kern w:val="2"/>
        </w:rPr>
      </w:pPr>
      <w:r>
        <w:rPr>
          <w:rFonts w:hint="eastAsia" w:ascii="宋体" w:hAnsi="宋体" w:cs="宋体"/>
          <w:kern w:val="2"/>
        </w:rPr>
        <w:t>乙方应于每次申请付款前向甲方提供合法有效的等额增值税发票，否则甲方有权暂缓付款。</w:t>
      </w:r>
    </w:p>
    <w:p>
      <w:pPr>
        <w:widowControl w:val="0"/>
        <w:spacing w:line="360" w:lineRule="auto"/>
        <w:ind w:firstLine="357"/>
        <w:jc w:val="both"/>
        <w:rPr>
          <w:rFonts w:ascii="宋体" w:hAnsi="宋体" w:cs="宋体"/>
          <w:kern w:val="2"/>
        </w:rPr>
      </w:pPr>
      <w:r>
        <w:rPr>
          <w:rFonts w:hint="eastAsia" w:ascii="宋体" w:hAnsi="宋体" w:cs="宋体"/>
          <w:kern w:val="2"/>
        </w:rPr>
        <w:t>7.3 本合同约定的设计费用为含税价格（税率6 %），合同履行期间国家税率调整或乙方开票的实际税率与前述税率不一致的，不含税价不变，价税合计按实际税率相应调整，以开具发票时间为准。</w:t>
      </w:r>
    </w:p>
    <w:p>
      <w:pPr>
        <w:widowControl w:val="0"/>
        <w:spacing w:line="360" w:lineRule="auto"/>
        <w:ind w:firstLine="357"/>
        <w:jc w:val="both"/>
        <w:rPr>
          <w:rFonts w:ascii="宋体" w:hAnsi="宋体" w:cs="宋体"/>
          <w:kern w:val="2"/>
        </w:rPr>
      </w:pPr>
      <w:r>
        <w:rPr>
          <w:rFonts w:hint="eastAsia" w:ascii="宋体" w:hAnsi="宋体" w:cs="宋体"/>
          <w:kern w:val="2"/>
        </w:rPr>
        <w:t>7.4 收款账号</w:t>
      </w:r>
    </w:p>
    <w:p>
      <w:pPr>
        <w:widowControl w:val="0"/>
        <w:spacing w:line="360" w:lineRule="auto"/>
        <w:ind w:firstLine="357"/>
        <w:jc w:val="both"/>
        <w:rPr>
          <w:rFonts w:ascii="宋体" w:hAnsi="宋体" w:cs="宋体"/>
          <w:kern w:val="2"/>
        </w:rPr>
      </w:pPr>
      <w:r>
        <w:rPr>
          <w:rFonts w:hint="eastAsia" w:ascii="宋体" w:hAnsi="宋体" w:cs="宋体"/>
          <w:kern w:val="2"/>
        </w:rPr>
        <w:t>甲方在本合同项下应支付的全部款项以电汇立即可用资金形式划付至乙方指定的下列账户：</w:t>
      </w:r>
    </w:p>
    <w:p>
      <w:pPr>
        <w:widowControl w:val="0"/>
        <w:spacing w:line="360" w:lineRule="auto"/>
        <w:ind w:firstLine="357"/>
        <w:jc w:val="both"/>
        <w:rPr>
          <w:rFonts w:ascii="宋体" w:hAnsi="宋体" w:cs="宋体"/>
          <w:kern w:val="2"/>
          <w:u w:val="single"/>
        </w:rPr>
      </w:pPr>
      <w:r>
        <w:rPr>
          <w:rFonts w:hint="eastAsia" w:ascii="宋体" w:hAnsi="宋体" w:cs="宋体"/>
          <w:kern w:val="2"/>
        </w:rPr>
        <w:t>户    名：</w:t>
      </w:r>
      <w:r>
        <w:rPr>
          <w:rFonts w:hint="eastAsia" w:ascii="宋体" w:hAnsi="宋体" w:cs="宋体"/>
          <w:kern w:val="2"/>
          <w:u w:val="single"/>
        </w:rPr>
        <w:t xml:space="preserve">        </w:t>
      </w:r>
    </w:p>
    <w:p>
      <w:pPr>
        <w:widowControl w:val="0"/>
        <w:spacing w:line="360" w:lineRule="auto"/>
        <w:ind w:firstLine="357"/>
        <w:jc w:val="both"/>
        <w:rPr>
          <w:rFonts w:ascii="宋体" w:hAnsi="宋体" w:cs="宋体"/>
          <w:kern w:val="2"/>
        </w:rPr>
      </w:pPr>
      <w:r>
        <w:rPr>
          <w:rFonts w:hint="eastAsia" w:ascii="宋体" w:hAnsi="宋体" w:cs="宋体"/>
          <w:kern w:val="2"/>
        </w:rPr>
        <w:t xml:space="preserve">开户银行：                         </w:t>
      </w:r>
    </w:p>
    <w:p>
      <w:pPr>
        <w:widowControl w:val="0"/>
        <w:spacing w:line="360" w:lineRule="auto"/>
        <w:ind w:firstLine="357"/>
        <w:jc w:val="both"/>
        <w:rPr>
          <w:rFonts w:ascii="宋体" w:hAnsi="宋体" w:cs="宋体"/>
          <w:kern w:val="2"/>
        </w:rPr>
      </w:pPr>
      <w:r>
        <w:rPr>
          <w:rFonts w:hint="eastAsia" w:ascii="宋体" w:hAnsi="宋体" w:cs="宋体"/>
          <w:kern w:val="2"/>
        </w:rPr>
        <w:t xml:space="preserve">账    号：                         </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7.5 开票信息</w:t>
      </w:r>
    </w:p>
    <w:p>
      <w:pPr>
        <w:widowControl w:val="0"/>
        <w:spacing w:line="360" w:lineRule="auto"/>
        <w:ind w:firstLine="357"/>
        <w:jc w:val="both"/>
        <w:rPr>
          <w:rFonts w:ascii="宋体" w:hAnsi="宋体" w:cs="宋体"/>
          <w:kern w:val="2"/>
        </w:rPr>
      </w:pPr>
      <w:r>
        <w:rPr>
          <w:rFonts w:hint="eastAsia" w:ascii="宋体" w:hAnsi="宋体" w:cs="宋体"/>
          <w:kern w:val="2"/>
        </w:rPr>
        <w:t xml:space="preserve">单位名称：                         </w:t>
      </w:r>
    </w:p>
    <w:p>
      <w:pPr>
        <w:widowControl w:val="0"/>
        <w:spacing w:line="360" w:lineRule="auto"/>
        <w:ind w:firstLine="357"/>
        <w:jc w:val="both"/>
        <w:rPr>
          <w:rFonts w:ascii="宋体" w:hAnsi="宋体" w:cs="宋体"/>
          <w:kern w:val="2"/>
        </w:rPr>
      </w:pPr>
      <w:r>
        <w:rPr>
          <w:rFonts w:hint="eastAsia" w:ascii="宋体" w:hAnsi="宋体" w:cs="宋体"/>
          <w:kern w:val="2"/>
        </w:rPr>
        <w:t xml:space="preserve">统一社会信用代码：                 </w:t>
      </w:r>
    </w:p>
    <w:p>
      <w:pPr>
        <w:widowControl w:val="0"/>
        <w:spacing w:line="360" w:lineRule="auto"/>
        <w:ind w:firstLine="357"/>
        <w:jc w:val="both"/>
        <w:rPr>
          <w:rFonts w:ascii="宋体" w:hAnsi="宋体" w:cs="宋体"/>
          <w:kern w:val="2"/>
        </w:rPr>
      </w:pPr>
      <w:r>
        <w:rPr>
          <w:rFonts w:hint="eastAsia" w:ascii="宋体" w:hAnsi="宋体" w:cs="宋体"/>
          <w:kern w:val="2"/>
        </w:rPr>
        <w:t xml:space="preserve">单位地址：                         </w:t>
      </w:r>
    </w:p>
    <w:p>
      <w:pPr>
        <w:widowControl w:val="0"/>
        <w:spacing w:line="360" w:lineRule="auto"/>
        <w:ind w:firstLine="357"/>
        <w:jc w:val="both"/>
        <w:rPr>
          <w:rFonts w:ascii="宋体" w:hAnsi="宋体" w:cs="宋体"/>
          <w:kern w:val="2"/>
        </w:rPr>
      </w:pPr>
      <w:r>
        <w:rPr>
          <w:rFonts w:hint="eastAsia" w:ascii="宋体" w:hAnsi="宋体" w:cs="宋体"/>
          <w:kern w:val="2"/>
        </w:rPr>
        <w:t xml:space="preserve">电话：                             </w:t>
      </w:r>
    </w:p>
    <w:p>
      <w:pPr>
        <w:widowControl w:val="0"/>
        <w:spacing w:line="360" w:lineRule="auto"/>
        <w:ind w:firstLine="357"/>
        <w:jc w:val="both"/>
        <w:rPr>
          <w:rFonts w:ascii="宋体" w:hAnsi="宋体" w:cs="宋体"/>
          <w:kern w:val="2"/>
        </w:rPr>
      </w:pPr>
      <w:r>
        <w:rPr>
          <w:rFonts w:hint="eastAsia" w:ascii="宋体" w:hAnsi="宋体" w:cs="宋体"/>
          <w:kern w:val="2"/>
        </w:rPr>
        <w:t xml:space="preserve">开户银行：                         </w:t>
      </w:r>
    </w:p>
    <w:p>
      <w:pPr>
        <w:widowControl w:val="0"/>
        <w:spacing w:line="360" w:lineRule="auto"/>
        <w:ind w:firstLine="357"/>
        <w:jc w:val="both"/>
        <w:rPr>
          <w:rFonts w:ascii="宋体" w:hAnsi="宋体" w:cs="宋体"/>
          <w:kern w:val="2"/>
        </w:rPr>
      </w:pPr>
      <w:r>
        <w:rPr>
          <w:rFonts w:hint="eastAsia" w:ascii="宋体" w:hAnsi="宋体" w:cs="宋体"/>
          <w:kern w:val="2"/>
        </w:rPr>
        <w:t xml:space="preserve">银行账户：                         </w:t>
      </w:r>
    </w:p>
    <w:p>
      <w:pPr>
        <w:widowControl w:val="0"/>
        <w:spacing w:line="360" w:lineRule="auto"/>
        <w:ind w:firstLine="357"/>
        <w:jc w:val="both"/>
        <w:rPr>
          <w:rFonts w:ascii="宋体" w:hAnsi="宋体" w:cs="宋体"/>
          <w:kern w:val="2"/>
        </w:rPr>
      </w:pPr>
      <w:r>
        <w:rPr>
          <w:rFonts w:hint="eastAsia" w:ascii="宋体" w:hAnsi="宋体" w:cs="宋体"/>
          <w:kern w:val="2"/>
        </w:rPr>
        <w:t>第八条 甲方权利和义务</w:t>
      </w:r>
    </w:p>
    <w:p>
      <w:pPr>
        <w:widowControl w:val="0"/>
        <w:spacing w:line="360" w:lineRule="auto"/>
        <w:ind w:firstLine="357"/>
        <w:jc w:val="both"/>
        <w:rPr>
          <w:rFonts w:ascii="宋体" w:hAnsi="宋体" w:cs="宋体"/>
          <w:kern w:val="2"/>
        </w:rPr>
      </w:pPr>
      <w:r>
        <w:rPr>
          <w:rFonts w:hint="eastAsia" w:ascii="宋体" w:hAnsi="宋体" w:cs="宋体"/>
          <w:kern w:val="2"/>
        </w:rPr>
        <w:t>8.1 按时获取合同约定的初步设计文件及相关文件并对其进行审核。</w:t>
      </w:r>
    </w:p>
    <w:p>
      <w:pPr>
        <w:widowControl w:val="0"/>
        <w:spacing w:line="360" w:lineRule="auto"/>
        <w:ind w:firstLine="357"/>
        <w:jc w:val="both"/>
        <w:rPr>
          <w:rFonts w:ascii="宋体" w:hAnsi="宋体" w:cs="宋体"/>
          <w:kern w:val="2"/>
        </w:rPr>
      </w:pPr>
      <w:r>
        <w:rPr>
          <w:rFonts w:hint="eastAsia" w:ascii="宋体" w:hAnsi="宋体" w:cs="宋体"/>
          <w:kern w:val="2"/>
        </w:rPr>
        <w:t>8.2 按本合同约定为乙方提供与初步设计相关的文件、资料，并保证该等文件与甲方取得时的初始状态一致。</w:t>
      </w:r>
    </w:p>
    <w:p>
      <w:pPr>
        <w:widowControl w:val="0"/>
        <w:spacing w:line="360" w:lineRule="auto"/>
        <w:ind w:firstLine="357"/>
        <w:jc w:val="both"/>
        <w:rPr>
          <w:rFonts w:ascii="宋体" w:hAnsi="宋体" w:cs="宋体"/>
          <w:kern w:val="2"/>
        </w:rPr>
      </w:pPr>
      <w:r>
        <w:rPr>
          <w:rFonts w:hint="eastAsia" w:ascii="宋体" w:hAnsi="宋体" w:cs="宋体"/>
          <w:kern w:val="2"/>
        </w:rPr>
        <w:t>8.3 为乙方设计工作提供必要的协助，并按本合同约定支付设计费用。</w:t>
      </w:r>
    </w:p>
    <w:p>
      <w:pPr>
        <w:widowControl w:val="0"/>
        <w:spacing w:line="360" w:lineRule="auto"/>
        <w:ind w:firstLine="357"/>
        <w:jc w:val="both"/>
        <w:rPr>
          <w:rFonts w:ascii="宋体" w:hAnsi="宋体" w:cs="宋体"/>
          <w:kern w:val="2"/>
        </w:rPr>
      </w:pPr>
      <w:r>
        <w:rPr>
          <w:rFonts w:hint="eastAsia" w:ascii="宋体" w:hAnsi="宋体" w:cs="宋体"/>
          <w:kern w:val="2"/>
        </w:rPr>
        <w:t>8.4 甲方不得要求乙方违反国家有关标准进行设计。</w:t>
      </w:r>
    </w:p>
    <w:p>
      <w:pPr>
        <w:widowControl w:val="0"/>
        <w:spacing w:line="360" w:lineRule="auto"/>
        <w:ind w:firstLine="357"/>
        <w:jc w:val="both"/>
        <w:rPr>
          <w:rFonts w:ascii="宋体" w:hAnsi="宋体" w:cs="宋体"/>
          <w:kern w:val="2"/>
        </w:rPr>
      </w:pPr>
      <w:r>
        <w:rPr>
          <w:rFonts w:hint="eastAsia" w:ascii="宋体" w:hAnsi="宋体" w:cs="宋体"/>
          <w:kern w:val="2"/>
        </w:rPr>
        <w:t>第九条 乙方权利和义务</w:t>
      </w:r>
    </w:p>
    <w:p>
      <w:pPr>
        <w:widowControl w:val="0"/>
        <w:spacing w:line="360" w:lineRule="auto"/>
        <w:ind w:firstLine="357"/>
        <w:jc w:val="both"/>
        <w:rPr>
          <w:rFonts w:ascii="宋体" w:hAnsi="宋体" w:cs="宋体"/>
          <w:kern w:val="2"/>
        </w:rPr>
      </w:pPr>
      <w:r>
        <w:rPr>
          <w:rFonts w:hint="eastAsia" w:ascii="宋体" w:hAnsi="宋体" w:cs="宋体"/>
          <w:kern w:val="2"/>
        </w:rPr>
        <w:t>9.1 按本合同约定获取设计服务报酬（设计费）。</w:t>
      </w:r>
    </w:p>
    <w:p>
      <w:pPr>
        <w:widowControl w:val="0"/>
        <w:spacing w:line="360" w:lineRule="auto"/>
        <w:ind w:firstLine="357"/>
        <w:jc w:val="both"/>
        <w:rPr>
          <w:rFonts w:ascii="宋体" w:hAnsi="宋体" w:cs="宋体"/>
          <w:kern w:val="2"/>
        </w:rPr>
      </w:pPr>
      <w:r>
        <w:rPr>
          <w:rFonts w:hint="eastAsia" w:ascii="宋体" w:hAnsi="宋体" w:cs="宋体"/>
          <w:kern w:val="2"/>
        </w:rPr>
        <w:t>9.2 乙方认真执行国家法律法规、行业、地方工程设计规范和标准，按期提交设计文件，并保证设计文件内容的真实、合法性、准确性，并对设计文件的质量负责，承担相应的法律责任。</w:t>
      </w:r>
    </w:p>
    <w:p>
      <w:pPr>
        <w:widowControl w:val="0"/>
        <w:spacing w:line="360" w:lineRule="auto"/>
        <w:ind w:firstLine="357"/>
        <w:jc w:val="both"/>
        <w:rPr>
          <w:rFonts w:ascii="宋体" w:hAnsi="宋体" w:cs="宋体"/>
          <w:kern w:val="2"/>
        </w:rPr>
      </w:pPr>
      <w:r>
        <w:rPr>
          <w:rFonts w:hint="eastAsia" w:ascii="宋体" w:hAnsi="宋体" w:cs="宋体"/>
          <w:kern w:val="2"/>
        </w:rPr>
        <w:t>9.3 按照行业准则的要求收集出具设计文件所需的其他资料并对其合法性、真实性、准确性、完整性进行核实。</w:t>
      </w:r>
    </w:p>
    <w:p>
      <w:pPr>
        <w:widowControl w:val="0"/>
        <w:spacing w:line="360" w:lineRule="auto"/>
        <w:ind w:firstLine="357"/>
        <w:jc w:val="both"/>
        <w:rPr>
          <w:rFonts w:ascii="宋体" w:hAnsi="宋体" w:cs="宋体"/>
          <w:kern w:val="2"/>
        </w:rPr>
      </w:pPr>
      <w:r>
        <w:rPr>
          <w:rFonts w:hint="eastAsia" w:ascii="宋体" w:hAnsi="宋体" w:cs="宋体"/>
          <w:kern w:val="2"/>
        </w:rPr>
        <w:t>9.4 设计合理使用年限为    。</w:t>
      </w:r>
    </w:p>
    <w:p>
      <w:pPr>
        <w:widowControl w:val="0"/>
        <w:spacing w:line="360" w:lineRule="auto"/>
        <w:ind w:firstLine="357"/>
        <w:jc w:val="both"/>
        <w:rPr>
          <w:rFonts w:ascii="宋体" w:hAnsi="宋体" w:cs="宋体"/>
          <w:kern w:val="2"/>
        </w:rPr>
      </w:pPr>
      <w:r>
        <w:rPr>
          <w:rFonts w:hint="eastAsia" w:ascii="宋体" w:hAnsi="宋体" w:cs="宋体"/>
          <w:kern w:val="2"/>
        </w:rPr>
        <w:t>9.5 对甲方指出的设计工作和设计文件中存在的疏忽、遗漏、错误之处，应认真予以修改或补充。对甲方提出的疑问，应及时给予解答。</w:t>
      </w:r>
    </w:p>
    <w:p>
      <w:pPr>
        <w:widowControl w:val="0"/>
        <w:spacing w:line="360" w:lineRule="auto"/>
        <w:ind w:firstLine="357"/>
        <w:jc w:val="both"/>
        <w:rPr>
          <w:rFonts w:ascii="宋体" w:hAnsi="宋体" w:cs="宋体"/>
          <w:kern w:val="2"/>
        </w:rPr>
      </w:pPr>
      <w:r>
        <w:rPr>
          <w:rFonts w:hint="eastAsia" w:ascii="宋体" w:hAnsi="宋体" w:cs="宋体"/>
          <w:kern w:val="2"/>
        </w:rPr>
        <w:t>9.6 按规定参加有关的设计审查，并根据审查结论负责不超出原定范围的内容做必要调整补充。</w:t>
      </w:r>
    </w:p>
    <w:p>
      <w:pPr>
        <w:widowControl w:val="0"/>
        <w:spacing w:line="360" w:lineRule="auto"/>
        <w:ind w:firstLine="357"/>
        <w:jc w:val="both"/>
        <w:rPr>
          <w:rFonts w:ascii="宋体" w:hAnsi="宋体" w:cs="宋体"/>
          <w:kern w:val="2"/>
        </w:rPr>
      </w:pPr>
      <w:r>
        <w:rPr>
          <w:rFonts w:hint="eastAsia" w:ascii="宋体" w:hAnsi="宋体" w:cs="宋体"/>
          <w:kern w:val="2"/>
        </w:rPr>
        <w:t>9.7 负责向甲方及施工单位进行设计交底、处理有关设计问题，确保设计文件符合甲方后续施工和编制施工设计图的需要。若因设计文件导致后续施工无法顺利进行，乙方应及时与甲方进行沟通协商，必要时对设计文件进行调整和修改。</w:t>
      </w:r>
    </w:p>
    <w:p>
      <w:pPr>
        <w:widowControl w:val="0"/>
        <w:spacing w:line="360" w:lineRule="auto"/>
        <w:ind w:firstLine="357"/>
        <w:jc w:val="both"/>
        <w:rPr>
          <w:rFonts w:ascii="宋体" w:hAnsi="宋体" w:cs="宋体"/>
          <w:kern w:val="2"/>
        </w:rPr>
      </w:pPr>
      <w:r>
        <w:rPr>
          <w:rFonts w:hint="eastAsia" w:ascii="宋体" w:hAnsi="宋体" w:cs="宋体"/>
          <w:kern w:val="2"/>
        </w:rPr>
        <w:t>9.8 自行负担乙方设计专业人员因从事本合同项下设计服务而发生的差旅费及其他各项费用。</w:t>
      </w:r>
    </w:p>
    <w:p>
      <w:pPr>
        <w:widowControl w:val="0"/>
        <w:spacing w:line="360" w:lineRule="auto"/>
        <w:ind w:firstLine="357"/>
        <w:jc w:val="both"/>
        <w:rPr>
          <w:rFonts w:ascii="宋体" w:hAnsi="宋体" w:cs="宋体"/>
          <w:kern w:val="2"/>
        </w:rPr>
      </w:pPr>
      <w:r>
        <w:rPr>
          <w:rFonts w:hint="eastAsia" w:ascii="宋体" w:hAnsi="宋体" w:cs="宋体"/>
          <w:kern w:val="2"/>
        </w:rPr>
        <w:t>第十条 违约责任</w:t>
      </w:r>
    </w:p>
    <w:p>
      <w:pPr>
        <w:widowControl w:val="0"/>
        <w:spacing w:line="360" w:lineRule="auto"/>
        <w:ind w:firstLine="357"/>
        <w:jc w:val="both"/>
        <w:rPr>
          <w:rFonts w:ascii="宋体" w:hAnsi="宋体" w:cs="宋体"/>
          <w:kern w:val="2"/>
        </w:rPr>
      </w:pPr>
      <w:r>
        <w:rPr>
          <w:rFonts w:hint="eastAsia" w:ascii="宋体" w:hAnsi="宋体" w:cs="宋体"/>
          <w:kern w:val="2"/>
        </w:rPr>
        <w:t>10.1 本合同生效后，甲、乙双方应本着诚实信用的原则，严格履行本合同约定的各项义务。任何一方当事人不履行本合同约定义务的，或者履行本合同约定义务不符合约定的，视为违约，除本合同另有约定外，应向对方赔偿因此受到的损失，包括但不限于实际损失、预期损失和要求对方赔偿损失而支付的律师费、交通费和差旅费等。</w:t>
      </w:r>
    </w:p>
    <w:p>
      <w:pPr>
        <w:widowControl w:val="0"/>
        <w:spacing w:line="360" w:lineRule="auto"/>
        <w:ind w:firstLine="357"/>
        <w:jc w:val="both"/>
        <w:rPr>
          <w:rFonts w:ascii="宋体" w:hAnsi="宋体" w:cs="宋体"/>
          <w:kern w:val="2"/>
        </w:rPr>
      </w:pPr>
      <w:r>
        <w:rPr>
          <w:rFonts w:hint="eastAsia" w:ascii="宋体" w:hAnsi="宋体" w:cs="宋体"/>
          <w:kern w:val="2"/>
        </w:rPr>
        <w:t>10.2 甲方无故解除本合同的，应对乙方指派的设计人员在本合同解除前实际发生的差旅费及其他与设计服务相关的合理支出给予补偿，乙方应提供相关的支出证明文件予甲方确认，补偿金额不超过按本合同第七条确定的设计费用的5%。</w:t>
      </w:r>
    </w:p>
    <w:p>
      <w:pPr>
        <w:widowControl w:val="0"/>
        <w:spacing w:line="360" w:lineRule="auto"/>
        <w:ind w:firstLine="357"/>
        <w:jc w:val="both"/>
        <w:rPr>
          <w:rFonts w:ascii="宋体" w:hAnsi="宋体" w:cs="宋体"/>
          <w:kern w:val="2"/>
        </w:rPr>
      </w:pPr>
      <w:r>
        <w:rPr>
          <w:rFonts w:hint="eastAsia" w:ascii="宋体" w:hAnsi="宋体" w:cs="宋体"/>
          <w:kern w:val="2"/>
        </w:rPr>
        <w:t>10.3 除合同另有约定外，本合同履行期间，乙方违反本合同约定、无故终止履行本合同、消极履行本合同、或未按期完成设计工作，甲方有权解除本合同，并有权要求乙方按本合同第七条确定的设计费用的5%支付违约金，要求乙方返还已支付的设计费用，未支付的设计费用不予支付。同时，对于甲方因此造成损失的，乙方应承担赔偿责任。</w:t>
      </w:r>
    </w:p>
    <w:p>
      <w:pPr>
        <w:widowControl w:val="0"/>
        <w:spacing w:line="360" w:lineRule="auto"/>
        <w:ind w:firstLine="357"/>
        <w:jc w:val="both"/>
        <w:rPr>
          <w:rFonts w:ascii="宋体" w:hAnsi="宋体" w:cs="宋体"/>
          <w:kern w:val="2"/>
        </w:rPr>
      </w:pPr>
      <w:r>
        <w:rPr>
          <w:rFonts w:hint="eastAsia" w:ascii="宋体" w:hAnsi="宋体" w:cs="宋体"/>
          <w:kern w:val="2"/>
        </w:rPr>
        <w:t>10.4 由于乙方设计原因造成项目质量事故损失，乙方除负责采取补救措施外，还应赔偿甲方的一切损失并承担一切责任。</w:t>
      </w:r>
    </w:p>
    <w:p>
      <w:pPr>
        <w:widowControl w:val="0"/>
        <w:spacing w:line="360" w:lineRule="auto"/>
        <w:ind w:firstLine="357"/>
        <w:jc w:val="both"/>
        <w:rPr>
          <w:rFonts w:ascii="宋体" w:hAnsi="宋体" w:cs="宋体"/>
          <w:kern w:val="2"/>
        </w:rPr>
      </w:pPr>
      <w:r>
        <w:rPr>
          <w:rFonts w:hint="eastAsia" w:ascii="宋体" w:hAnsi="宋体" w:cs="宋体"/>
          <w:kern w:val="2"/>
        </w:rPr>
        <w:t>第十一条 知识产权</w:t>
      </w:r>
    </w:p>
    <w:p>
      <w:pPr>
        <w:widowControl w:val="0"/>
        <w:spacing w:line="360" w:lineRule="auto"/>
        <w:ind w:firstLine="357"/>
        <w:jc w:val="both"/>
        <w:rPr>
          <w:rFonts w:ascii="宋体" w:hAnsi="宋体" w:cs="宋体"/>
          <w:kern w:val="2"/>
        </w:rPr>
      </w:pPr>
      <w:r>
        <w:rPr>
          <w:rFonts w:hint="eastAsia" w:ascii="宋体" w:hAnsi="宋体" w:cs="宋体"/>
          <w:kern w:val="2"/>
        </w:rPr>
        <w:t>11.1 甲方提供给乙方的图纸、甲方为实施工程自行编制或委托编制的技术规格书以及反映甲方要求的或其他类似性质的文件的著作权均属于甲方，经甲方同意，乙方可以为实现合同目的而复制、使用此类文件，但不能用于与合同无关的其他事项。未经甲方书面同意，乙方不得为了合同以外的目的而复制、使用上述文件或将之提供给任何第三方。</w:t>
      </w:r>
    </w:p>
    <w:p>
      <w:pPr>
        <w:widowControl w:val="0"/>
        <w:spacing w:line="360" w:lineRule="auto"/>
        <w:ind w:firstLine="357"/>
        <w:jc w:val="both"/>
        <w:rPr>
          <w:rFonts w:ascii="宋体" w:hAnsi="宋体" w:cs="宋体"/>
          <w:kern w:val="2"/>
        </w:rPr>
      </w:pPr>
      <w:r>
        <w:rPr>
          <w:rFonts w:hint="eastAsia" w:ascii="宋体" w:hAnsi="宋体" w:cs="宋体"/>
          <w:kern w:val="2"/>
        </w:rPr>
        <w:t>11.2 乙方为履行本合同所编制的文件的知识产权属于甲方所有，乙方仅享有署名权。未经甲方书面同意，乙方不得将甲方享有知识产权的设计文件用于其他项目。</w:t>
      </w:r>
    </w:p>
    <w:p>
      <w:pPr>
        <w:widowControl w:val="0"/>
        <w:spacing w:line="360" w:lineRule="auto"/>
        <w:ind w:firstLine="357"/>
        <w:jc w:val="both"/>
        <w:rPr>
          <w:rFonts w:ascii="宋体" w:hAnsi="宋体" w:cs="宋体"/>
          <w:kern w:val="2"/>
        </w:rPr>
      </w:pPr>
      <w:r>
        <w:rPr>
          <w:rFonts w:hint="eastAsia" w:ascii="宋体" w:hAnsi="宋体" w:cs="宋体"/>
          <w:kern w:val="2"/>
        </w:rPr>
        <w:t>11.3 乙方在履行本合同过程中不得侵犯甲方及第三方的知识产权。乙方因侵犯他人的专利权或其他知识产权所引起的责任由乙方承担。</w:t>
      </w:r>
    </w:p>
    <w:p>
      <w:pPr>
        <w:widowControl w:val="0"/>
        <w:spacing w:line="360" w:lineRule="auto"/>
        <w:ind w:firstLine="357"/>
        <w:jc w:val="both"/>
        <w:rPr>
          <w:rFonts w:ascii="宋体" w:hAnsi="宋体" w:cs="宋体"/>
          <w:kern w:val="2"/>
        </w:rPr>
      </w:pPr>
      <w:r>
        <w:rPr>
          <w:rFonts w:hint="eastAsia" w:ascii="宋体" w:hAnsi="宋体" w:cs="宋体"/>
          <w:kern w:val="2"/>
        </w:rPr>
        <w:t>第十二条 保密</w:t>
      </w:r>
    </w:p>
    <w:p>
      <w:pPr>
        <w:widowControl w:val="0"/>
        <w:spacing w:line="360" w:lineRule="auto"/>
        <w:ind w:firstLine="357"/>
        <w:jc w:val="both"/>
        <w:rPr>
          <w:rFonts w:ascii="宋体" w:hAnsi="宋体" w:cs="宋体"/>
          <w:kern w:val="2"/>
        </w:rPr>
      </w:pPr>
      <w:r>
        <w:rPr>
          <w:rFonts w:hint="eastAsia" w:ascii="宋体" w:hAnsi="宋体" w:cs="宋体"/>
          <w:kern w:val="2"/>
        </w:rPr>
        <w:t>双方都应对签署和履行本合同而取得的所有任何有关的资料严格保密，任何一方均有义务限制其员工、代理人等仅在为适当履行本合同义务所必须且承诺严守保密义务时方可获得和使用上述资料。未经对方同意，任何一方均不得对对方的资料及文件擅自修改、复制或向第三人转让或用于本合同项目外的项目。如发生以上情况，泄密方承担一切由此引起的后果并承担赔偿责任。</w:t>
      </w:r>
    </w:p>
    <w:p>
      <w:pPr>
        <w:widowControl w:val="0"/>
        <w:spacing w:line="360" w:lineRule="auto"/>
        <w:ind w:firstLine="357"/>
        <w:jc w:val="both"/>
        <w:rPr>
          <w:rFonts w:ascii="宋体" w:hAnsi="宋体" w:cs="宋体"/>
          <w:kern w:val="2"/>
        </w:rPr>
      </w:pPr>
      <w:r>
        <w:rPr>
          <w:rFonts w:hint="eastAsia" w:ascii="宋体" w:hAnsi="宋体" w:cs="宋体"/>
          <w:kern w:val="2"/>
        </w:rPr>
        <w:t>第十三条 争议的解决</w:t>
      </w:r>
    </w:p>
    <w:p>
      <w:pPr>
        <w:widowControl w:val="0"/>
        <w:spacing w:line="360" w:lineRule="auto"/>
        <w:ind w:firstLine="357"/>
        <w:jc w:val="both"/>
        <w:rPr>
          <w:rFonts w:ascii="宋体" w:hAnsi="宋体" w:cs="宋体"/>
          <w:kern w:val="2"/>
        </w:rPr>
      </w:pPr>
      <w:r>
        <w:rPr>
          <w:rFonts w:hint="eastAsia" w:ascii="宋体" w:hAnsi="宋体" w:cs="宋体"/>
          <w:kern w:val="2"/>
        </w:rPr>
        <w:t>双方就本合同的解释和履行发生的任何争议，应通过友好协商方式解决。未能通过友好协商解决的争议，双方均可向甲方住所地有管辖权的人民法院提起诉讼。</w:t>
      </w:r>
    </w:p>
    <w:p>
      <w:pPr>
        <w:widowControl w:val="0"/>
        <w:spacing w:line="360" w:lineRule="auto"/>
        <w:ind w:firstLine="357"/>
        <w:jc w:val="both"/>
        <w:rPr>
          <w:rFonts w:ascii="宋体" w:hAnsi="宋体" w:cs="宋体"/>
          <w:kern w:val="2"/>
        </w:rPr>
      </w:pPr>
      <w:r>
        <w:rPr>
          <w:rFonts w:hint="eastAsia" w:ascii="宋体" w:hAnsi="宋体" w:cs="宋体"/>
          <w:kern w:val="2"/>
        </w:rPr>
        <w:t>第十四条 不可抗力</w:t>
      </w:r>
    </w:p>
    <w:p>
      <w:pPr>
        <w:widowControl w:val="0"/>
        <w:spacing w:line="360" w:lineRule="auto"/>
        <w:ind w:firstLine="357"/>
        <w:jc w:val="both"/>
        <w:rPr>
          <w:rFonts w:ascii="宋体" w:hAnsi="宋体" w:cs="宋体"/>
          <w:kern w:val="2"/>
        </w:rPr>
      </w:pPr>
      <w:r>
        <w:rPr>
          <w:rFonts w:hint="eastAsia" w:ascii="宋体" w:hAnsi="宋体" w:cs="宋体"/>
          <w:kern w:val="2"/>
        </w:rPr>
        <w:t>14.1 本合同所指不可抗力系指：地震、风暴、水灾或其他自然灾害、瘟疫、战争、暴乱、敌对行动、公共骚乱、公共敌人的行为、政府或公共机关禁止、国家法律法规变更、政策调整、监管部门的相关规定或指令调整等任何一方无法预见、无法控制和无法避免的情况。</w:t>
      </w:r>
    </w:p>
    <w:p>
      <w:pPr>
        <w:widowControl w:val="0"/>
        <w:spacing w:line="360" w:lineRule="auto"/>
        <w:ind w:firstLine="357"/>
        <w:jc w:val="both"/>
        <w:rPr>
          <w:rFonts w:ascii="宋体" w:hAnsi="宋体" w:cs="宋体"/>
          <w:kern w:val="2"/>
        </w:rPr>
      </w:pPr>
      <w:r>
        <w:rPr>
          <w:rFonts w:hint="eastAsia" w:ascii="宋体" w:hAnsi="宋体" w:cs="宋体"/>
          <w:kern w:val="2"/>
        </w:rPr>
        <w:t>14.2 若不可抗力事件导致任何一方不能履行其任何的契约性义务，该等义务应在不可抗力事件存在时暂停，而义务的履行期应自动按暂停期顺延。</w:t>
      </w:r>
    </w:p>
    <w:p>
      <w:pPr>
        <w:widowControl w:val="0"/>
        <w:spacing w:line="360" w:lineRule="auto"/>
        <w:ind w:firstLine="357"/>
        <w:jc w:val="both"/>
        <w:rPr>
          <w:rFonts w:ascii="宋体" w:hAnsi="宋体" w:cs="宋体"/>
          <w:kern w:val="2"/>
        </w:rPr>
      </w:pPr>
      <w:r>
        <w:rPr>
          <w:rFonts w:hint="eastAsia" w:ascii="宋体" w:hAnsi="宋体" w:cs="宋体"/>
          <w:kern w:val="2"/>
        </w:rPr>
        <w:t>14.3 遭遇不可抗力的一方应在发生不可抗力事件后的  日内书面通知对方，并向对方提供发生不可抗力和其持续期的适当证明，并应尽其最大努力终止不可抗力事件或减少其影响。</w:t>
      </w:r>
    </w:p>
    <w:p>
      <w:pPr>
        <w:widowControl w:val="0"/>
        <w:spacing w:line="360" w:lineRule="auto"/>
        <w:ind w:firstLine="357"/>
        <w:jc w:val="both"/>
        <w:rPr>
          <w:rFonts w:ascii="宋体" w:hAnsi="宋体" w:cs="宋体"/>
          <w:kern w:val="2"/>
        </w:rPr>
      </w:pPr>
      <w:r>
        <w:rPr>
          <w:rFonts w:hint="eastAsia" w:ascii="宋体" w:hAnsi="宋体" w:cs="宋体"/>
          <w:kern w:val="2"/>
        </w:rPr>
        <w:t>14.4 不可抗力事件结束后，双方应立即磋商以寻求一个公平的解决方法，并应尽所有合理努力以减轻不可抗力的影响。</w:t>
      </w:r>
    </w:p>
    <w:p>
      <w:pPr>
        <w:widowControl w:val="0"/>
        <w:spacing w:line="360" w:lineRule="auto"/>
        <w:ind w:firstLine="357"/>
        <w:jc w:val="both"/>
        <w:rPr>
          <w:rFonts w:ascii="宋体" w:hAnsi="宋体" w:cs="宋体"/>
          <w:kern w:val="2"/>
        </w:rPr>
      </w:pPr>
      <w:r>
        <w:rPr>
          <w:rFonts w:hint="eastAsia" w:ascii="宋体" w:hAnsi="宋体" w:cs="宋体"/>
          <w:kern w:val="2"/>
        </w:rPr>
        <w:t>第十五条 合同的变更、终止</w:t>
      </w:r>
    </w:p>
    <w:p>
      <w:pPr>
        <w:widowControl w:val="0"/>
        <w:spacing w:line="360" w:lineRule="auto"/>
        <w:ind w:firstLine="357"/>
        <w:jc w:val="both"/>
        <w:rPr>
          <w:rFonts w:ascii="宋体" w:hAnsi="宋体" w:cs="宋体"/>
          <w:kern w:val="2"/>
        </w:rPr>
      </w:pPr>
      <w:r>
        <w:rPr>
          <w:rFonts w:hint="eastAsia" w:ascii="宋体" w:hAnsi="宋体" w:cs="宋体"/>
          <w:kern w:val="2"/>
        </w:rPr>
        <w:t>15.1 本合同生效后，未经双方协商一致，达成书面合同，任何一方不得擅自变更本合同。如需变更本合同条款或就未尽事项签署补充合同，应经双方共同协商达成一致，并签署书面文件。</w:t>
      </w:r>
    </w:p>
    <w:p>
      <w:pPr>
        <w:widowControl w:val="0"/>
        <w:spacing w:line="360" w:lineRule="auto"/>
        <w:ind w:firstLine="357"/>
        <w:jc w:val="both"/>
        <w:rPr>
          <w:rFonts w:ascii="宋体" w:hAnsi="宋体" w:cs="宋体"/>
          <w:kern w:val="2"/>
        </w:rPr>
      </w:pPr>
      <w:r>
        <w:rPr>
          <w:rFonts w:hint="eastAsia" w:ascii="宋体" w:hAnsi="宋体" w:cs="宋体"/>
          <w:kern w:val="2"/>
        </w:rPr>
        <w:t>15.2 本合同履行期间，因国家有关法规、政策变化，致使本合同无法继续履行或者履行已无意义或甲方因工作需要解除本合同的，对乙方已按甲方要求部分完成的设计服务工作，甲方应向乙方支付相应比例的设计费用，但甲方不因此承担任何违约责任或赔偿责任。</w:t>
      </w:r>
    </w:p>
    <w:p>
      <w:pPr>
        <w:widowControl w:val="0"/>
        <w:spacing w:line="360" w:lineRule="auto"/>
        <w:ind w:firstLine="357"/>
        <w:jc w:val="both"/>
        <w:rPr>
          <w:rFonts w:ascii="宋体" w:hAnsi="宋体" w:cs="宋体"/>
          <w:kern w:val="2"/>
        </w:rPr>
      </w:pPr>
      <w:r>
        <w:rPr>
          <w:rFonts w:hint="eastAsia" w:ascii="宋体" w:hAnsi="宋体" w:cs="宋体"/>
          <w:kern w:val="2"/>
        </w:rPr>
        <w:t>第十六条 通知和通讯</w:t>
      </w:r>
    </w:p>
    <w:p>
      <w:pPr>
        <w:widowControl w:val="0"/>
        <w:spacing w:line="360" w:lineRule="auto"/>
        <w:ind w:firstLine="357"/>
        <w:jc w:val="both"/>
        <w:rPr>
          <w:rFonts w:ascii="宋体" w:hAnsi="宋体" w:cs="宋体"/>
          <w:kern w:val="2"/>
        </w:rPr>
      </w:pPr>
      <w:r>
        <w:rPr>
          <w:rFonts w:hint="eastAsia" w:ascii="宋体" w:hAnsi="宋体" w:cs="宋体"/>
          <w:kern w:val="2"/>
        </w:rPr>
        <w:t>16.1 本合同项下双方的任何通知均应以书面形式作出，按照本合同约定的联络方式以专人送达或特快专递方式递送。</w:t>
      </w:r>
    </w:p>
    <w:p>
      <w:pPr>
        <w:widowControl w:val="0"/>
        <w:spacing w:line="360" w:lineRule="auto"/>
        <w:ind w:firstLine="357"/>
        <w:jc w:val="both"/>
        <w:rPr>
          <w:rFonts w:ascii="宋体" w:hAnsi="宋体" w:cs="宋体"/>
          <w:kern w:val="2"/>
        </w:rPr>
      </w:pPr>
      <w:r>
        <w:rPr>
          <w:rFonts w:hint="eastAsia" w:ascii="宋体" w:hAnsi="宋体" w:cs="宋体"/>
          <w:kern w:val="2"/>
        </w:rPr>
        <w:t>16.2 甲方的联络方式</w:t>
      </w:r>
    </w:p>
    <w:p>
      <w:pPr>
        <w:widowControl w:val="0"/>
        <w:spacing w:line="360" w:lineRule="auto"/>
        <w:ind w:firstLine="357"/>
        <w:jc w:val="both"/>
        <w:rPr>
          <w:rFonts w:ascii="宋体" w:hAnsi="宋体" w:cs="宋体"/>
          <w:kern w:val="2"/>
        </w:rPr>
      </w:pPr>
      <w:r>
        <w:rPr>
          <w:rFonts w:hint="eastAsia" w:ascii="宋体" w:hAnsi="宋体" w:cs="宋体"/>
          <w:kern w:val="2"/>
        </w:rPr>
        <w:t xml:space="preserve">地    址：                         </w:t>
      </w:r>
    </w:p>
    <w:p>
      <w:pPr>
        <w:widowControl w:val="0"/>
        <w:spacing w:line="360" w:lineRule="auto"/>
        <w:ind w:firstLine="357"/>
        <w:jc w:val="both"/>
        <w:rPr>
          <w:rFonts w:ascii="宋体" w:hAnsi="宋体" w:cs="宋体"/>
          <w:kern w:val="2"/>
        </w:rPr>
      </w:pPr>
      <w:r>
        <w:rPr>
          <w:rFonts w:hint="eastAsia" w:ascii="宋体" w:hAnsi="宋体" w:cs="宋体"/>
          <w:kern w:val="2"/>
        </w:rPr>
        <w:t xml:space="preserve">电    话：                         </w:t>
      </w:r>
    </w:p>
    <w:p>
      <w:pPr>
        <w:widowControl w:val="0"/>
        <w:spacing w:line="360" w:lineRule="auto"/>
        <w:ind w:firstLine="357"/>
        <w:jc w:val="both"/>
        <w:rPr>
          <w:rFonts w:ascii="宋体" w:hAnsi="宋体" w:cs="宋体"/>
          <w:kern w:val="2"/>
        </w:rPr>
      </w:pPr>
      <w:r>
        <w:rPr>
          <w:rFonts w:hint="eastAsia" w:ascii="宋体" w:hAnsi="宋体" w:cs="宋体"/>
          <w:kern w:val="2"/>
        </w:rPr>
        <w:t xml:space="preserve">联 系 人：                         </w:t>
      </w:r>
    </w:p>
    <w:p>
      <w:pPr>
        <w:widowControl w:val="0"/>
        <w:spacing w:line="360" w:lineRule="auto"/>
        <w:ind w:firstLine="357"/>
        <w:jc w:val="both"/>
        <w:rPr>
          <w:rFonts w:ascii="宋体" w:hAnsi="宋体" w:cs="宋体"/>
          <w:kern w:val="2"/>
        </w:rPr>
      </w:pPr>
      <w:r>
        <w:rPr>
          <w:rFonts w:hint="eastAsia" w:ascii="宋体" w:hAnsi="宋体" w:cs="宋体"/>
          <w:kern w:val="2"/>
        </w:rPr>
        <w:t>16.3 乙方的联络方式</w:t>
      </w:r>
    </w:p>
    <w:p>
      <w:pPr>
        <w:widowControl w:val="0"/>
        <w:spacing w:line="360" w:lineRule="auto"/>
        <w:ind w:firstLine="357"/>
        <w:jc w:val="both"/>
        <w:rPr>
          <w:rFonts w:ascii="宋体" w:hAnsi="宋体" w:cs="宋体"/>
          <w:kern w:val="2"/>
        </w:rPr>
      </w:pPr>
      <w:r>
        <w:rPr>
          <w:rFonts w:hint="eastAsia" w:ascii="宋体" w:hAnsi="宋体" w:cs="宋体"/>
          <w:kern w:val="2"/>
        </w:rPr>
        <w:t xml:space="preserve">地    址：                         </w:t>
      </w:r>
    </w:p>
    <w:p>
      <w:pPr>
        <w:widowControl w:val="0"/>
        <w:spacing w:line="360" w:lineRule="auto"/>
        <w:ind w:firstLine="357"/>
        <w:jc w:val="both"/>
        <w:rPr>
          <w:rFonts w:ascii="宋体" w:hAnsi="宋体" w:cs="宋体"/>
          <w:kern w:val="2"/>
        </w:rPr>
      </w:pPr>
      <w:r>
        <w:rPr>
          <w:rFonts w:hint="eastAsia" w:ascii="宋体" w:hAnsi="宋体" w:cs="宋体"/>
          <w:kern w:val="2"/>
        </w:rPr>
        <w:t xml:space="preserve">电    话：                         </w:t>
      </w:r>
    </w:p>
    <w:p>
      <w:pPr>
        <w:widowControl w:val="0"/>
        <w:spacing w:line="360" w:lineRule="auto"/>
        <w:ind w:firstLine="357"/>
        <w:jc w:val="both"/>
        <w:rPr>
          <w:rFonts w:ascii="宋体" w:hAnsi="宋体" w:cs="宋体"/>
          <w:kern w:val="2"/>
        </w:rPr>
      </w:pPr>
      <w:r>
        <w:rPr>
          <w:rFonts w:hint="eastAsia" w:ascii="宋体" w:hAnsi="宋体" w:cs="宋体"/>
          <w:kern w:val="2"/>
        </w:rPr>
        <w:t xml:space="preserve">联 系 人：                         </w:t>
      </w:r>
    </w:p>
    <w:p>
      <w:pPr>
        <w:widowControl w:val="0"/>
        <w:spacing w:line="360" w:lineRule="auto"/>
        <w:ind w:firstLine="357"/>
        <w:jc w:val="both"/>
        <w:rPr>
          <w:rFonts w:ascii="宋体" w:hAnsi="宋体" w:cs="宋体"/>
          <w:kern w:val="2"/>
        </w:rPr>
      </w:pPr>
      <w:r>
        <w:rPr>
          <w:rFonts w:hint="eastAsia" w:ascii="宋体" w:hAnsi="宋体" w:cs="宋体"/>
          <w:kern w:val="2"/>
        </w:rPr>
        <w:t>16.4 任何一方就本合同相关事宜发送通知的，通知在下列日期视为送达被通知方：</w:t>
      </w:r>
    </w:p>
    <w:p>
      <w:pPr>
        <w:widowControl w:val="0"/>
        <w:spacing w:line="360" w:lineRule="auto"/>
        <w:ind w:firstLine="357"/>
        <w:jc w:val="both"/>
        <w:rPr>
          <w:rFonts w:ascii="宋体" w:hAnsi="宋体" w:cs="宋体"/>
          <w:kern w:val="2"/>
        </w:rPr>
      </w:pPr>
      <w:r>
        <w:rPr>
          <w:rFonts w:hint="eastAsia" w:ascii="宋体" w:hAnsi="宋体" w:cs="宋体"/>
          <w:kern w:val="2"/>
        </w:rPr>
        <w:t>16.4.1 由专人送达，通知方取得的被通知方签收单所标示的日期；</w:t>
      </w:r>
    </w:p>
    <w:p>
      <w:pPr>
        <w:widowControl w:val="0"/>
        <w:spacing w:line="360" w:lineRule="auto"/>
        <w:ind w:firstLine="357"/>
        <w:jc w:val="both"/>
        <w:rPr>
          <w:rFonts w:ascii="宋体" w:hAnsi="宋体" w:cs="宋体"/>
          <w:kern w:val="2"/>
        </w:rPr>
      </w:pPr>
      <w:r>
        <w:rPr>
          <w:rFonts w:hint="eastAsia" w:ascii="宋体" w:hAnsi="宋体" w:cs="宋体"/>
          <w:kern w:val="2"/>
        </w:rPr>
        <w:t>16.4.2 由特快专递发送，以收件人签收日为送达日，非因不可抗力事由收件人未签收的，以寄出日后第</w:t>
      </w:r>
      <w:r>
        <w:rPr>
          <w:rFonts w:hint="eastAsia" w:ascii="宋体" w:hAnsi="宋体" w:cs="宋体"/>
          <w:kern w:val="2"/>
          <w:u w:val="single"/>
        </w:rPr>
        <w:t xml:space="preserve">  </w:t>
      </w:r>
      <w:r>
        <w:rPr>
          <w:rFonts w:hint="eastAsia" w:ascii="宋体" w:hAnsi="宋体" w:cs="宋体"/>
          <w:kern w:val="2"/>
        </w:rPr>
        <w:t>个工作日为送达日。</w:t>
      </w:r>
    </w:p>
    <w:p>
      <w:pPr>
        <w:widowControl w:val="0"/>
        <w:spacing w:line="360" w:lineRule="auto"/>
        <w:ind w:firstLine="357"/>
        <w:jc w:val="both"/>
        <w:rPr>
          <w:rFonts w:ascii="宋体" w:hAnsi="宋体" w:cs="宋体"/>
          <w:kern w:val="2"/>
        </w:rPr>
      </w:pPr>
      <w:r>
        <w:rPr>
          <w:rFonts w:hint="eastAsia" w:ascii="宋体" w:hAnsi="宋体" w:cs="宋体"/>
          <w:kern w:val="2"/>
        </w:rPr>
        <w:t>16.5 双方确认，本条约定的联络方式适用范围包括但不限于各类告知书、通知书、工作联系单、合同文件、诉讼或仲裁文书等，送达主体可以是本合同当事人、公证机构、人民法院、仲裁委员会及各行政机关。</w:t>
      </w:r>
    </w:p>
    <w:p>
      <w:pPr>
        <w:widowControl w:val="0"/>
        <w:spacing w:line="360" w:lineRule="auto"/>
        <w:ind w:firstLine="357"/>
        <w:jc w:val="both"/>
        <w:rPr>
          <w:rFonts w:ascii="宋体" w:hAnsi="宋体" w:cs="宋体"/>
          <w:kern w:val="2"/>
        </w:rPr>
      </w:pPr>
      <w:r>
        <w:rPr>
          <w:rFonts w:hint="eastAsia" w:ascii="宋体" w:hAnsi="宋体" w:cs="宋体"/>
          <w:kern w:val="2"/>
        </w:rPr>
        <w:t>16.6 任何一方的联络方法发生变更的，应在变更之日起5个工作日内书面通知其他方。在被通知方收到联络方式变更通知之前，被通知方根据变更前的联络方法所做出的联络和通讯均视为有效。</w:t>
      </w:r>
    </w:p>
    <w:p>
      <w:pPr>
        <w:widowControl w:val="0"/>
        <w:spacing w:line="360" w:lineRule="auto"/>
        <w:ind w:firstLine="357"/>
        <w:jc w:val="both"/>
        <w:rPr>
          <w:rFonts w:ascii="宋体" w:hAnsi="宋体" w:cs="宋体"/>
          <w:kern w:val="2"/>
        </w:rPr>
      </w:pPr>
      <w:r>
        <w:rPr>
          <w:rFonts w:hint="eastAsia" w:ascii="宋体" w:hAnsi="宋体" w:cs="宋体"/>
          <w:kern w:val="2"/>
        </w:rPr>
        <w:t>第十七条 附则</w:t>
      </w:r>
    </w:p>
    <w:p>
      <w:pPr>
        <w:widowControl w:val="0"/>
        <w:spacing w:line="360" w:lineRule="auto"/>
        <w:ind w:firstLine="357"/>
        <w:jc w:val="both"/>
        <w:rPr>
          <w:rFonts w:ascii="宋体" w:hAnsi="宋体" w:cs="宋体"/>
          <w:kern w:val="2"/>
        </w:rPr>
      </w:pPr>
      <w:r>
        <w:rPr>
          <w:rFonts w:hint="eastAsia" w:ascii="宋体" w:hAnsi="宋体" w:cs="宋体"/>
          <w:kern w:val="2"/>
        </w:rPr>
        <w:t>17.1本合同签署前形成的任何文件如与本合同相冲突，以本合同为准。</w:t>
      </w:r>
    </w:p>
    <w:p>
      <w:pPr>
        <w:widowControl w:val="0"/>
        <w:spacing w:line="360" w:lineRule="auto"/>
        <w:ind w:firstLine="357"/>
        <w:jc w:val="both"/>
        <w:rPr>
          <w:rFonts w:ascii="宋体" w:hAnsi="宋体" w:cs="宋体"/>
          <w:kern w:val="2"/>
        </w:rPr>
      </w:pPr>
      <w:r>
        <w:rPr>
          <w:rFonts w:hint="eastAsia" w:ascii="宋体" w:hAnsi="宋体" w:cs="宋体"/>
          <w:kern w:val="2"/>
        </w:rPr>
        <w:t>17.2本合同自甲、乙双方法定代表人或负责人或授权代表签字或签章并加盖公章之日起生效。</w:t>
      </w:r>
    </w:p>
    <w:p>
      <w:pPr>
        <w:widowControl w:val="0"/>
        <w:spacing w:line="360" w:lineRule="auto"/>
        <w:ind w:firstLine="357"/>
        <w:jc w:val="both"/>
        <w:rPr>
          <w:rFonts w:ascii="宋体" w:hAnsi="宋体" w:cs="宋体"/>
          <w:kern w:val="2"/>
        </w:rPr>
      </w:pPr>
      <w:r>
        <w:rPr>
          <w:rFonts w:hint="eastAsia" w:ascii="宋体" w:hAnsi="宋体" w:cs="宋体"/>
          <w:kern w:val="2"/>
        </w:rPr>
        <w:t>17.3本合同采用中文订立，一式</w:t>
      </w:r>
      <w:r>
        <w:rPr>
          <w:rFonts w:hint="eastAsia" w:ascii="宋体" w:hAnsi="宋体" w:cs="宋体"/>
          <w:kern w:val="2"/>
          <w:u w:val="single"/>
        </w:rPr>
        <w:t xml:space="preserve">  </w:t>
      </w:r>
      <w:r>
        <w:rPr>
          <w:rFonts w:hint="eastAsia" w:ascii="宋体" w:hAnsi="宋体" w:cs="宋体"/>
          <w:kern w:val="2"/>
        </w:rPr>
        <w:t>份，具同等法律效力。甲方持</w:t>
      </w:r>
      <w:r>
        <w:rPr>
          <w:rFonts w:hint="eastAsia" w:ascii="宋体" w:hAnsi="宋体" w:cs="宋体"/>
          <w:kern w:val="2"/>
          <w:u w:val="single"/>
        </w:rPr>
        <w:t xml:space="preserve">  </w:t>
      </w:r>
      <w:r>
        <w:rPr>
          <w:rFonts w:hint="eastAsia" w:ascii="宋体" w:hAnsi="宋体" w:cs="宋体"/>
          <w:kern w:val="2"/>
        </w:rPr>
        <w:t>份，乙方持  份。</w:t>
      </w:r>
    </w:p>
    <w:p>
      <w:pPr>
        <w:widowControl w:val="0"/>
        <w:spacing w:line="360" w:lineRule="auto"/>
        <w:ind w:firstLine="357"/>
        <w:jc w:val="both"/>
        <w:rPr>
          <w:rFonts w:ascii="宋体" w:hAnsi="宋体" w:cs="宋体"/>
          <w:kern w:val="2"/>
        </w:rPr>
      </w:pPr>
      <w:r>
        <w:rPr>
          <w:rFonts w:hint="eastAsia" w:ascii="宋体" w:hAnsi="宋体" w:cs="宋体"/>
          <w:kern w:val="2"/>
        </w:rPr>
        <w:t>（以下无正文）</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p>
    <w:p>
      <w:pPr>
        <w:widowControl w:val="0"/>
        <w:spacing w:line="360" w:lineRule="auto"/>
        <w:ind w:firstLine="357"/>
        <w:jc w:val="center"/>
        <w:rPr>
          <w:rFonts w:ascii="宋体" w:hAnsi="宋体" w:cs="宋体"/>
          <w:kern w:val="2"/>
        </w:rPr>
      </w:pPr>
      <w:r>
        <w:rPr>
          <w:rFonts w:hint="eastAsia" w:ascii="宋体" w:hAnsi="宋体" w:cs="宋体"/>
          <w:kern w:val="2"/>
        </w:rPr>
        <w:t>（本页为合同签署页）</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p>
    <w:p>
      <w:pPr>
        <w:snapToGrid w:val="0"/>
        <w:spacing w:line="360" w:lineRule="auto"/>
        <w:ind w:right="-449" w:rightChars="-187" w:firstLine="360" w:firstLineChars="150"/>
        <w:rPr>
          <w:rFonts w:ascii="宋体" w:hAnsi="宋体" w:cs="宋体"/>
          <w:kern w:val="2"/>
        </w:rPr>
      </w:pPr>
      <w:r>
        <w:rPr>
          <w:rFonts w:hint="eastAsia" w:ascii="宋体" w:hAnsi="宋体" w:cs="宋体"/>
          <w:kern w:val="2"/>
        </w:rPr>
        <w:t xml:space="preserve">甲方（盖章）：     </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法定代表人或</w:t>
      </w:r>
    </w:p>
    <w:p>
      <w:pPr>
        <w:widowControl w:val="0"/>
        <w:spacing w:line="360" w:lineRule="auto"/>
        <w:ind w:firstLine="357"/>
        <w:jc w:val="both"/>
        <w:rPr>
          <w:rFonts w:ascii="宋体" w:hAnsi="宋体" w:cs="宋体"/>
          <w:kern w:val="2"/>
        </w:rPr>
      </w:pPr>
      <w:r>
        <w:rPr>
          <w:rFonts w:hint="eastAsia" w:ascii="宋体" w:hAnsi="宋体" w:cs="宋体"/>
          <w:kern w:val="2"/>
        </w:rPr>
        <w:t>授权代表（签名或签章）：</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 xml:space="preserve">乙方（盖章）：                          </w:t>
      </w:r>
    </w:p>
    <w:p>
      <w:pPr>
        <w:widowControl w:val="0"/>
        <w:spacing w:line="360" w:lineRule="auto"/>
        <w:ind w:firstLine="357"/>
        <w:jc w:val="both"/>
        <w:rPr>
          <w:rFonts w:ascii="宋体" w:hAnsi="宋体" w:cs="宋体"/>
          <w:kern w:val="2"/>
        </w:rPr>
      </w:pPr>
    </w:p>
    <w:p>
      <w:pPr>
        <w:widowControl w:val="0"/>
        <w:spacing w:line="360" w:lineRule="auto"/>
        <w:ind w:firstLine="357"/>
        <w:jc w:val="both"/>
        <w:rPr>
          <w:rFonts w:ascii="宋体" w:hAnsi="宋体" w:cs="宋体"/>
          <w:kern w:val="2"/>
        </w:rPr>
      </w:pPr>
      <w:r>
        <w:rPr>
          <w:rFonts w:hint="eastAsia" w:ascii="宋体" w:hAnsi="宋体" w:cs="宋体"/>
          <w:kern w:val="2"/>
        </w:rPr>
        <w:t>法定代表人或</w:t>
      </w:r>
    </w:p>
    <w:p>
      <w:pPr>
        <w:widowControl w:val="0"/>
        <w:spacing w:line="360" w:lineRule="auto"/>
        <w:ind w:firstLine="357"/>
        <w:jc w:val="both"/>
        <w:rPr>
          <w:rFonts w:ascii="宋体" w:hAnsi="宋体" w:cs="宋体"/>
          <w:kern w:val="2"/>
        </w:rPr>
      </w:pPr>
      <w:r>
        <w:rPr>
          <w:rFonts w:hint="eastAsia" w:ascii="宋体" w:hAnsi="宋体" w:cs="宋体"/>
          <w:kern w:val="2"/>
        </w:rPr>
        <w:t>授权代表（签名或签章）：</w:t>
      </w:r>
    </w:p>
    <w:bookmarkEnd w:id="57"/>
    <w:p>
      <w:pPr>
        <w:widowControl w:val="0"/>
        <w:spacing w:line="360" w:lineRule="auto"/>
        <w:ind w:firstLine="357"/>
        <w:jc w:val="both"/>
        <w:rPr>
          <w:rFonts w:ascii="楷体_GB2312" w:eastAsia="楷体_GB2312"/>
          <w:kern w:val="2"/>
        </w:rPr>
      </w:pPr>
    </w:p>
    <w:p>
      <w:pPr>
        <w:widowControl w:val="0"/>
        <w:spacing w:line="360" w:lineRule="auto"/>
        <w:ind w:firstLine="357"/>
        <w:jc w:val="both"/>
        <w:rPr>
          <w:rFonts w:ascii="楷体_GB2312" w:eastAsia="楷体_GB2312"/>
          <w:kern w:val="2"/>
        </w:rPr>
      </w:pPr>
    </w:p>
    <w:p>
      <w:pPr>
        <w:pStyle w:val="2"/>
        <w:rPr>
          <w:rFonts w:ascii="宋体" w:hAnsi="宋体" w:cs="宋体"/>
        </w:rPr>
        <w:sectPr>
          <w:headerReference r:id="rId5" w:type="default"/>
          <w:footerReference r:id="rId7" w:type="default"/>
          <w:headerReference r:id="rId6" w:type="even"/>
          <w:pgSz w:w="11906" w:h="16838"/>
          <w:pgMar w:top="1440" w:right="1800" w:bottom="1440" w:left="1800" w:header="851" w:footer="992" w:gutter="0"/>
          <w:pgNumType w:start="1"/>
          <w:cols w:space="425" w:num="1"/>
          <w:docGrid w:type="lines" w:linePitch="312" w:charSpace="0"/>
        </w:sectPr>
      </w:pPr>
    </w:p>
    <w:p>
      <w:pPr>
        <w:rPr>
          <w:rFonts w:ascii="楷体_GB2312" w:eastAsia="楷体_GB2312"/>
          <w:sz w:val="28"/>
        </w:rPr>
      </w:pPr>
      <w:r>
        <w:rPr>
          <w:rFonts w:hint="eastAsia" w:ascii="仿宋_GB2312" w:eastAsia="仿宋_GB2312"/>
          <w:b/>
          <w:bCs/>
          <w:color w:val="000000"/>
          <w:sz w:val="28"/>
        </w:rPr>
        <w:t>附件1：</w:t>
      </w:r>
    </w:p>
    <w:p>
      <w:pPr>
        <w:spacing w:line="480" w:lineRule="exact"/>
        <w:ind w:firstLine="723"/>
        <w:jc w:val="center"/>
        <w:rPr>
          <w:rFonts w:ascii="仿宋_GB2312" w:eastAsia="仿宋_GB2312" w:hAnsiTheme="minorEastAsia"/>
          <w:b/>
          <w:sz w:val="36"/>
        </w:rPr>
      </w:pPr>
      <w:r>
        <w:rPr>
          <w:rFonts w:hint="eastAsia" w:ascii="仿宋_GB2312" w:eastAsia="仿宋_GB2312" w:hAnsiTheme="minorEastAsia"/>
          <w:b/>
          <w:sz w:val="36"/>
        </w:rPr>
        <w:t>初步设计涉及物业明细表</w:t>
      </w:r>
    </w:p>
    <w:p>
      <w:pPr>
        <w:spacing w:line="480" w:lineRule="exact"/>
        <w:ind w:right="960" w:firstLine="480"/>
        <w:jc w:val="right"/>
        <w:rPr>
          <w:rFonts w:asciiTheme="minorEastAsia" w:hAnsiTheme="minorEastAsia" w:eastAsiaTheme="minorEastAsia"/>
        </w:rPr>
      </w:pPr>
      <w:r>
        <w:rPr>
          <w:rFonts w:asciiTheme="minorEastAsia" w:hAnsiTheme="minorEastAsia" w:eastAsiaTheme="minorEastAsia"/>
        </w:rPr>
        <w:t xml:space="preserve">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990"/>
        <w:gridCol w:w="4204"/>
        <w:gridCol w:w="3240"/>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2" w:type="pct"/>
            <w:shd w:val="clear" w:color="auto" w:fill="auto"/>
            <w:vAlign w:val="center"/>
          </w:tcPr>
          <w:p>
            <w:pPr>
              <w:jc w:val="center"/>
              <w:rPr>
                <w:rFonts w:ascii="宋体" w:hAnsi="宋体" w:cs="宋体"/>
                <w:b/>
                <w:color w:val="000000"/>
              </w:rPr>
            </w:pPr>
            <w:r>
              <w:rPr>
                <w:rFonts w:hint="eastAsia" w:ascii="宋体" w:hAnsi="宋体" w:cs="宋体"/>
                <w:b/>
                <w:color w:val="000000"/>
              </w:rPr>
              <w:t>序号</w:t>
            </w:r>
          </w:p>
        </w:tc>
        <w:tc>
          <w:tcPr>
            <w:tcW w:w="702" w:type="pct"/>
            <w:shd w:val="clear" w:color="auto" w:fill="auto"/>
            <w:vAlign w:val="center"/>
          </w:tcPr>
          <w:p>
            <w:pPr>
              <w:jc w:val="center"/>
              <w:rPr>
                <w:rFonts w:ascii="宋体" w:hAnsi="宋体" w:cs="宋体"/>
                <w:b/>
                <w:color w:val="000000"/>
              </w:rPr>
            </w:pPr>
            <w:r>
              <w:rPr>
                <w:rFonts w:hint="eastAsia" w:ascii="宋体" w:hAnsi="宋体" w:cs="宋体"/>
                <w:b/>
                <w:color w:val="000000"/>
              </w:rPr>
              <w:t>权属证号</w:t>
            </w:r>
          </w:p>
        </w:tc>
        <w:tc>
          <w:tcPr>
            <w:tcW w:w="1483" w:type="pct"/>
            <w:shd w:val="clear" w:color="auto" w:fill="auto"/>
            <w:vAlign w:val="center"/>
          </w:tcPr>
          <w:p>
            <w:pPr>
              <w:jc w:val="center"/>
              <w:rPr>
                <w:rFonts w:ascii="宋体" w:hAnsi="宋体" w:cs="宋体"/>
                <w:b/>
                <w:color w:val="000000"/>
              </w:rPr>
            </w:pPr>
            <w:r>
              <w:rPr>
                <w:rFonts w:hint="eastAsia" w:ascii="宋体" w:hAnsi="宋体" w:cs="宋体"/>
                <w:b/>
                <w:color w:val="000000"/>
              </w:rPr>
              <w:t>物业所在地址</w:t>
            </w:r>
          </w:p>
        </w:tc>
        <w:tc>
          <w:tcPr>
            <w:tcW w:w="1143" w:type="pct"/>
            <w:shd w:val="clear" w:color="auto" w:fill="auto"/>
            <w:vAlign w:val="center"/>
          </w:tcPr>
          <w:p>
            <w:pPr>
              <w:jc w:val="center"/>
              <w:rPr>
                <w:rFonts w:ascii="宋体" w:hAnsi="宋体" w:cs="宋体"/>
                <w:b/>
                <w:color w:val="000000"/>
              </w:rPr>
            </w:pPr>
            <w:r>
              <w:rPr>
                <w:rFonts w:hint="eastAsia" w:ascii="宋体" w:hAnsi="宋体" w:cs="宋体"/>
                <w:b/>
                <w:color w:val="000000"/>
              </w:rPr>
              <w:t>物业面积（㎡）</w:t>
            </w:r>
          </w:p>
        </w:tc>
        <w:tc>
          <w:tcPr>
            <w:tcW w:w="1420" w:type="pct"/>
            <w:shd w:val="clear" w:color="auto" w:fill="auto"/>
            <w:vAlign w:val="center"/>
          </w:tcPr>
          <w:p>
            <w:pPr>
              <w:jc w:val="center"/>
              <w:rPr>
                <w:rFonts w:ascii="宋体" w:hAnsi="宋体" w:cs="宋体"/>
                <w:b/>
                <w:color w:val="000000"/>
              </w:rPr>
            </w:pPr>
            <w:r>
              <w:rPr>
                <w:rFonts w:hint="eastAsia" w:ascii="宋体" w:hAnsi="宋体" w:cs="宋体"/>
                <w:b/>
                <w:color w:val="000000"/>
              </w:rPr>
              <w:t>房屋安全鉴定情况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52" w:type="pct"/>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702" w:type="pct"/>
            <w:shd w:val="clear" w:color="auto" w:fill="auto"/>
            <w:vAlign w:val="center"/>
          </w:tcPr>
          <w:p>
            <w:pPr>
              <w:jc w:val="center"/>
              <w:rPr>
                <w:rFonts w:ascii="宋体" w:hAnsi="宋体" w:cs="宋体"/>
                <w:color w:val="000000"/>
              </w:rPr>
            </w:pPr>
            <w:r>
              <w:rPr>
                <w:rFonts w:hint="eastAsia" w:ascii="宋体" w:hAnsi="宋体" w:cs="宋体"/>
                <w:color w:val="000000"/>
              </w:rPr>
              <w:t>粤房地证字第C3864333号</w:t>
            </w:r>
          </w:p>
        </w:tc>
        <w:tc>
          <w:tcPr>
            <w:tcW w:w="1483" w:type="pct"/>
            <w:shd w:val="clear" w:color="auto" w:fill="auto"/>
            <w:vAlign w:val="center"/>
          </w:tcPr>
          <w:p>
            <w:pPr>
              <w:jc w:val="center"/>
              <w:rPr>
                <w:rFonts w:ascii="宋体" w:hAnsi="宋体" w:cs="宋体"/>
                <w:color w:val="000000"/>
              </w:rPr>
            </w:pPr>
            <w:r>
              <w:rPr>
                <w:rFonts w:hint="eastAsia" w:ascii="宋体" w:hAnsi="宋体" w:cs="宋体"/>
                <w:color w:val="000000"/>
              </w:rPr>
              <w:t>荔湾区上九路88号</w:t>
            </w:r>
          </w:p>
        </w:tc>
        <w:tc>
          <w:tcPr>
            <w:tcW w:w="1143" w:type="pct"/>
            <w:shd w:val="clear" w:color="auto" w:fill="auto"/>
            <w:vAlign w:val="center"/>
          </w:tcPr>
          <w:p>
            <w:pPr>
              <w:jc w:val="center"/>
              <w:rPr>
                <w:rFonts w:ascii="宋体" w:hAnsi="宋体" w:cs="宋体"/>
                <w:color w:val="000000"/>
              </w:rPr>
            </w:pPr>
            <w:r>
              <w:rPr>
                <w:rFonts w:hint="eastAsia" w:ascii="宋体" w:hAnsi="宋体" w:cs="宋体"/>
                <w:color w:val="000000"/>
              </w:rPr>
              <w:t>414.37</w:t>
            </w:r>
          </w:p>
        </w:tc>
        <w:tc>
          <w:tcPr>
            <w:tcW w:w="1420" w:type="pct"/>
            <w:shd w:val="clear" w:color="auto" w:fill="auto"/>
            <w:vAlign w:val="center"/>
          </w:tcPr>
          <w:p>
            <w:pPr>
              <w:rPr>
                <w:rFonts w:ascii="宋体" w:hAnsi="宋体" w:cs="宋体"/>
                <w:color w:val="000000"/>
              </w:rPr>
            </w:pPr>
            <w:r>
              <w:rPr>
                <w:rFonts w:hint="eastAsia" w:ascii="宋体" w:hAnsi="宋体" w:cs="宋体"/>
                <w:color w:val="000000"/>
              </w:rPr>
              <w:t>房屋可靠性鉴定等级为IV级，满足A类建筑抗震鉴定要求。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52" w:type="pct"/>
            <w:shd w:val="clear" w:color="auto" w:fill="auto"/>
            <w:vAlign w:val="center"/>
          </w:tcPr>
          <w:p>
            <w:pPr>
              <w:jc w:val="center"/>
              <w:rPr>
                <w:rFonts w:ascii="宋体" w:hAnsi="宋体" w:cs="宋体"/>
                <w:color w:val="000000"/>
              </w:rPr>
            </w:pPr>
            <w:r>
              <w:rPr>
                <w:rFonts w:hint="eastAsia" w:ascii="宋体" w:hAnsi="宋体" w:cs="宋体"/>
                <w:color w:val="000000"/>
              </w:rPr>
              <w:t>2</w:t>
            </w:r>
          </w:p>
        </w:tc>
        <w:tc>
          <w:tcPr>
            <w:tcW w:w="702" w:type="pct"/>
            <w:shd w:val="clear" w:color="auto" w:fill="auto"/>
            <w:vAlign w:val="center"/>
          </w:tcPr>
          <w:p>
            <w:pPr>
              <w:jc w:val="center"/>
              <w:rPr>
                <w:rFonts w:ascii="宋体" w:hAnsi="宋体" w:cs="宋体"/>
                <w:color w:val="000000"/>
              </w:rPr>
            </w:pPr>
            <w:r>
              <w:rPr>
                <w:rFonts w:hint="eastAsia" w:ascii="宋体" w:hAnsi="宋体" w:cs="宋体"/>
                <w:color w:val="000000"/>
              </w:rPr>
              <w:t>穗房地证字第268600号</w:t>
            </w:r>
          </w:p>
        </w:tc>
        <w:tc>
          <w:tcPr>
            <w:tcW w:w="1483" w:type="pct"/>
            <w:shd w:val="clear" w:color="auto" w:fill="auto"/>
            <w:vAlign w:val="center"/>
          </w:tcPr>
          <w:p>
            <w:pPr>
              <w:jc w:val="center"/>
              <w:rPr>
                <w:rFonts w:ascii="宋体" w:hAnsi="宋体" w:cs="宋体"/>
                <w:color w:val="000000"/>
              </w:rPr>
            </w:pPr>
            <w:r>
              <w:rPr>
                <w:rFonts w:hint="eastAsia" w:ascii="宋体" w:hAnsi="宋体" w:cs="宋体"/>
                <w:color w:val="000000"/>
              </w:rPr>
              <w:t>荔湾区下九路114号</w:t>
            </w:r>
          </w:p>
        </w:tc>
        <w:tc>
          <w:tcPr>
            <w:tcW w:w="1143" w:type="pct"/>
            <w:shd w:val="clear" w:color="auto" w:fill="auto"/>
            <w:vAlign w:val="center"/>
          </w:tcPr>
          <w:p>
            <w:pPr>
              <w:jc w:val="center"/>
              <w:rPr>
                <w:rFonts w:ascii="宋体" w:hAnsi="宋体" w:cs="宋体"/>
                <w:color w:val="000000"/>
              </w:rPr>
            </w:pPr>
            <w:r>
              <w:rPr>
                <w:rFonts w:hint="eastAsia" w:ascii="宋体" w:hAnsi="宋体" w:cs="宋体"/>
                <w:color w:val="000000"/>
              </w:rPr>
              <w:t>140.74</w:t>
            </w:r>
          </w:p>
        </w:tc>
        <w:tc>
          <w:tcPr>
            <w:tcW w:w="1420" w:type="pct"/>
            <w:shd w:val="clear" w:color="auto" w:fill="auto"/>
            <w:vAlign w:val="center"/>
          </w:tcPr>
          <w:p>
            <w:pPr>
              <w:rPr>
                <w:rFonts w:ascii="宋体" w:hAnsi="宋体" w:cs="宋体"/>
                <w:color w:val="000000"/>
              </w:rPr>
            </w:pPr>
            <w:r>
              <w:rPr>
                <w:rFonts w:hint="eastAsia" w:ascii="宋体" w:hAnsi="宋体" w:cs="宋体"/>
                <w:color w:val="000000"/>
              </w:rPr>
              <w:t>可靠性1-2层砌体、2层混凝土板件、2/3层房屋框架大部分为D级；不满足A类建筑抗震鉴定要求。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52" w:type="pct"/>
            <w:shd w:val="clear" w:color="auto" w:fill="auto"/>
            <w:vAlign w:val="center"/>
          </w:tcPr>
          <w:p>
            <w:pPr>
              <w:jc w:val="center"/>
              <w:rPr>
                <w:rFonts w:ascii="宋体" w:hAnsi="宋体" w:cs="宋体"/>
                <w:color w:val="000000"/>
              </w:rPr>
            </w:pPr>
            <w:r>
              <w:rPr>
                <w:rFonts w:hint="eastAsia" w:ascii="宋体" w:hAnsi="宋体" w:cs="宋体"/>
                <w:color w:val="000000"/>
              </w:rPr>
              <w:t>3</w:t>
            </w:r>
          </w:p>
        </w:tc>
        <w:tc>
          <w:tcPr>
            <w:tcW w:w="702" w:type="pct"/>
            <w:shd w:val="clear" w:color="auto" w:fill="auto"/>
            <w:vAlign w:val="center"/>
          </w:tcPr>
          <w:p>
            <w:pPr>
              <w:jc w:val="center"/>
              <w:rPr>
                <w:rFonts w:ascii="宋体" w:hAnsi="宋体" w:cs="宋体"/>
                <w:color w:val="000000"/>
              </w:rPr>
            </w:pPr>
            <w:r>
              <w:rPr>
                <w:rFonts w:hint="eastAsia" w:ascii="宋体" w:hAnsi="宋体" w:cs="宋体"/>
                <w:color w:val="000000"/>
              </w:rPr>
              <w:t>穗房地证字第0291692号</w:t>
            </w:r>
          </w:p>
        </w:tc>
        <w:tc>
          <w:tcPr>
            <w:tcW w:w="1483" w:type="pct"/>
            <w:shd w:val="clear" w:color="auto" w:fill="auto"/>
            <w:vAlign w:val="center"/>
          </w:tcPr>
          <w:p>
            <w:pPr>
              <w:jc w:val="center"/>
              <w:rPr>
                <w:rFonts w:ascii="宋体" w:hAnsi="宋体" w:cs="宋体"/>
                <w:color w:val="000000"/>
              </w:rPr>
            </w:pPr>
            <w:r>
              <w:rPr>
                <w:rFonts w:hint="eastAsia" w:ascii="宋体" w:hAnsi="宋体" w:cs="宋体"/>
                <w:color w:val="000000"/>
              </w:rPr>
              <w:t>越秀区长堤大马路358、360、362、364号</w:t>
            </w:r>
          </w:p>
        </w:tc>
        <w:tc>
          <w:tcPr>
            <w:tcW w:w="1143" w:type="pct"/>
            <w:shd w:val="clear" w:color="auto" w:fill="auto"/>
            <w:vAlign w:val="center"/>
          </w:tcPr>
          <w:p>
            <w:pPr>
              <w:jc w:val="center"/>
              <w:rPr>
                <w:rFonts w:ascii="宋体" w:hAnsi="宋体" w:cs="宋体"/>
                <w:color w:val="000000"/>
              </w:rPr>
            </w:pPr>
            <w:r>
              <w:rPr>
                <w:rFonts w:hint="eastAsia" w:ascii="宋体" w:hAnsi="宋体" w:cs="宋体"/>
                <w:color w:val="000000"/>
              </w:rPr>
              <w:t>2,047.62</w:t>
            </w:r>
          </w:p>
        </w:tc>
        <w:tc>
          <w:tcPr>
            <w:tcW w:w="1420" w:type="pct"/>
            <w:shd w:val="clear" w:color="auto" w:fill="auto"/>
            <w:vAlign w:val="center"/>
          </w:tcPr>
          <w:p>
            <w:pPr>
              <w:rPr>
                <w:rFonts w:ascii="宋体" w:hAnsi="宋体" w:cs="宋体"/>
                <w:color w:val="000000"/>
              </w:rPr>
            </w:pPr>
            <w:r>
              <w:rPr>
                <w:rFonts w:hint="eastAsia" w:ascii="宋体" w:hAnsi="宋体" w:cs="宋体"/>
                <w:color w:val="000000"/>
              </w:rPr>
              <w:t>房屋可靠性鉴定等级为IV级，不满足A类建筑抗震鉴定要求。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52" w:type="pct"/>
            <w:shd w:val="clear" w:color="auto" w:fill="auto"/>
            <w:vAlign w:val="center"/>
          </w:tcPr>
          <w:p>
            <w:pPr>
              <w:jc w:val="center"/>
              <w:rPr>
                <w:rFonts w:ascii="宋体" w:hAnsi="宋体" w:cs="宋体"/>
                <w:color w:val="000000"/>
              </w:rPr>
            </w:pPr>
            <w:r>
              <w:rPr>
                <w:rFonts w:hint="eastAsia" w:ascii="宋体" w:hAnsi="宋体" w:cs="宋体"/>
                <w:color w:val="000000"/>
              </w:rPr>
              <w:t>4</w:t>
            </w:r>
          </w:p>
        </w:tc>
        <w:tc>
          <w:tcPr>
            <w:tcW w:w="702" w:type="pct"/>
            <w:shd w:val="clear" w:color="auto" w:fill="auto"/>
            <w:vAlign w:val="center"/>
          </w:tcPr>
          <w:p>
            <w:pPr>
              <w:jc w:val="center"/>
              <w:rPr>
                <w:rFonts w:ascii="宋体" w:hAnsi="宋体" w:cs="宋体"/>
                <w:color w:val="000000"/>
              </w:rPr>
            </w:pPr>
            <w:r>
              <w:rPr>
                <w:rFonts w:hint="eastAsia" w:ascii="宋体" w:hAnsi="宋体" w:cs="宋体"/>
                <w:color w:val="000000"/>
              </w:rPr>
              <w:t>粤房地证字第C5192755号</w:t>
            </w:r>
          </w:p>
        </w:tc>
        <w:tc>
          <w:tcPr>
            <w:tcW w:w="1483" w:type="pct"/>
            <w:shd w:val="clear" w:color="auto" w:fill="auto"/>
            <w:vAlign w:val="center"/>
          </w:tcPr>
          <w:p>
            <w:pPr>
              <w:jc w:val="center"/>
              <w:rPr>
                <w:rFonts w:ascii="宋体" w:hAnsi="宋体" w:cs="宋体"/>
                <w:color w:val="000000"/>
              </w:rPr>
            </w:pPr>
            <w:r>
              <w:rPr>
                <w:rFonts w:hint="eastAsia" w:ascii="宋体" w:hAnsi="宋体" w:cs="宋体"/>
                <w:color w:val="000000"/>
              </w:rPr>
              <w:t>越秀区人民南路230号</w:t>
            </w:r>
          </w:p>
        </w:tc>
        <w:tc>
          <w:tcPr>
            <w:tcW w:w="1143" w:type="pct"/>
            <w:shd w:val="clear" w:color="auto" w:fill="auto"/>
            <w:vAlign w:val="center"/>
          </w:tcPr>
          <w:p>
            <w:pPr>
              <w:jc w:val="center"/>
              <w:rPr>
                <w:rFonts w:ascii="宋体" w:hAnsi="宋体" w:cs="宋体"/>
                <w:color w:val="000000"/>
              </w:rPr>
            </w:pPr>
            <w:r>
              <w:rPr>
                <w:rFonts w:hint="eastAsia" w:ascii="宋体" w:hAnsi="宋体" w:cs="宋体"/>
                <w:color w:val="000000"/>
              </w:rPr>
              <w:t>727.22</w:t>
            </w:r>
          </w:p>
        </w:tc>
        <w:tc>
          <w:tcPr>
            <w:tcW w:w="1420" w:type="pct"/>
            <w:shd w:val="clear" w:color="auto" w:fill="auto"/>
            <w:vAlign w:val="center"/>
          </w:tcPr>
          <w:p>
            <w:pPr>
              <w:rPr>
                <w:rFonts w:ascii="宋体" w:hAnsi="宋体" w:cs="宋体"/>
                <w:color w:val="000000"/>
              </w:rPr>
            </w:pPr>
            <w:r>
              <w:rPr>
                <w:rFonts w:hint="eastAsia" w:ascii="宋体" w:hAnsi="宋体" w:cs="宋体"/>
                <w:color w:val="000000"/>
              </w:rPr>
              <w:t>区域1/2/3房屋可靠性鉴定等级为IV级，区域1/3不满足A类建筑抗震鉴定要求。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52" w:type="pct"/>
            <w:shd w:val="clear" w:color="auto" w:fill="auto"/>
            <w:vAlign w:val="center"/>
          </w:tcPr>
          <w:p>
            <w:pPr>
              <w:jc w:val="center"/>
              <w:rPr>
                <w:rFonts w:ascii="宋体" w:hAnsi="宋体" w:cs="宋体"/>
                <w:color w:val="000000"/>
              </w:rPr>
            </w:pPr>
          </w:p>
        </w:tc>
        <w:tc>
          <w:tcPr>
            <w:tcW w:w="702" w:type="pct"/>
            <w:shd w:val="clear" w:color="auto" w:fill="auto"/>
            <w:vAlign w:val="center"/>
          </w:tcPr>
          <w:p>
            <w:pPr>
              <w:jc w:val="center"/>
              <w:rPr>
                <w:rFonts w:ascii="宋体" w:hAnsi="宋体" w:cs="宋体"/>
                <w:color w:val="000000"/>
              </w:rPr>
            </w:pPr>
          </w:p>
        </w:tc>
        <w:tc>
          <w:tcPr>
            <w:tcW w:w="1483" w:type="pct"/>
            <w:shd w:val="clear" w:color="auto" w:fill="auto"/>
            <w:vAlign w:val="center"/>
          </w:tcPr>
          <w:p>
            <w:pPr>
              <w:jc w:val="center"/>
              <w:rPr>
                <w:rFonts w:ascii="宋体" w:hAnsi="宋体" w:cs="宋体"/>
                <w:b/>
                <w:color w:val="000000"/>
              </w:rPr>
            </w:pPr>
            <w:r>
              <w:rPr>
                <w:rFonts w:hint="eastAsia" w:ascii="宋体" w:hAnsi="宋体" w:cs="宋体"/>
                <w:b/>
                <w:color w:val="000000"/>
              </w:rPr>
              <w:t>合计</w:t>
            </w:r>
          </w:p>
        </w:tc>
        <w:tc>
          <w:tcPr>
            <w:tcW w:w="1143" w:type="pct"/>
            <w:shd w:val="clear" w:color="auto" w:fill="auto"/>
            <w:vAlign w:val="center"/>
          </w:tcPr>
          <w:p>
            <w:pPr>
              <w:jc w:val="center"/>
              <w:rPr>
                <w:rFonts w:ascii="宋体" w:hAnsi="宋体" w:cs="宋体"/>
                <w:b/>
                <w:color w:val="000000"/>
              </w:rPr>
            </w:pPr>
            <w:r>
              <w:rPr>
                <w:rFonts w:hint="eastAsia" w:ascii="宋体" w:hAnsi="宋体" w:cs="宋体"/>
                <w:b/>
                <w:color w:val="000000"/>
              </w:rPr>
              <w:t>3,329.95</w:t>
            </w:r>
          </w:p>
        </w:tc>
        <w:tc>
          <w:tcPr>
            <w:tcW w:w="1420" w:type="pct"/>
            <w:shd w:val="clear" w:color="auto" w:fill="auto"/>
            <w:vAlign w:val="center"/>
          </w:tcPr>
          <w:p>
            <w:pPr>
              <w:jc w:val="center"/>
              <w:rPr>
                <w:rFonts w:ascii="宋体" w:hAnsi="宋体" w:cs="宋体"/>
                <w:color w:val="000000"/>
              </w:rPr>
            </w:pPr>
          </w:p>
        </w:tc>
      </w:tr>
    </w:tbl>
    <w:p>
      <w:pPr>
        <w:pStyle w:val="2"/>
      </w:pPr>
    </w:p>
    <w:p>
      <w:pPr>
        <w:pStyle w:val="2"/>
      </w:pPr>
    </w:p>
    <w:p>
      <w:pPr>
        <w:pStyle w:val="2"/>
        <w:sectPr>
          <w:pgSz w:w="16838" w:h="11906" w:orient="landscape"/>
          <w:pgMar w:top="1797" w:right="1440" w:bottom="1797" w:left="1440" w:header="851" w:footer="992" w:gutter="0"/>
          <w:cols w:space="425" w:num="1"/>
          <w:docGrid w:type="linesAndChars" w:linePitch="312" w:charSpace="0"/>
        </w:sectPr>
      </w:pPr>
    </w:p>
    <w:p>
      <w:pPr>
        <w:rPr>
          <w:rFonts w:ascii="仿宋_GB2312" w:eastAsia="仿宋_GB2312"/>
          <w:b/>
          <w:bCs/>
          <w:color w:val="000000"/>
          <w:sz w:val="28"/>
        </w:rPr>
      </w:pPr>
      <w:r>
        <w:rPr>
          <w:rFonts w:hint="eastAsia" w:ascii="仿宋_GB2312" w:eastAsia="仿宋_GB2312"/>
          <w:b/>
          <w:bCs/>
          <w:color w:val="000000"/>
          <w:sz w:val="28"/>
        </w:rPr>
        <w:t>附件2：</w:t>
      </w:r>
    </w:p>
    <w:p>
      <w:pPr>
        <w:spacing w:line="480" w:lineRule="exact"/>
        <w:jc w:val="center"/>
        <w:rPr>
          <w:rFonts w:ascii="仿宋_GB2312" w:eastAsia="仿宋_GB2312" w:hAnsiTheme="minorEastAsia"/>
          <w:b/>
          <w:sz w:val="36"/>
        </w:rPr>
      </w:pPr>
      <w:r>
        <w:rPr>
          <w:rFonts w:hint="eastAsia" w:ascii="仿宋_GB2312" w:eastAsia="仿宋_GB2312" w:hAnsiTheme="minorEastAsia"/>
          <w:b/>
          <w:sz w:val="36"/>
        </w:rPr>
        <w:t>拟投入团队人员汇总表</w:t>
      </w:r>
    </w:p>
    <w:p>
      <w:pPr>
        <w:pStyle w:val="2"/>
      </w:pPr>
    </w:p>
    <w:tbl>
      <w:tblPr>
        <w:tblStyle w:val="33"/>
        <w:tblW w:w="8652" w:type="dxa"/>
        <w:jc w:val="center"/>
        <w:tblLayout w:type="fixed"/>
        <w:tblCellMar>
          <w:top w:w="0" w:type="dxa"/>
          <w:left w:w="108" w:type="dxa"/>
          <w:bottom w:w="0" w:type="dxa"/>
          <w:right w:w="108" w:type="dxa"/>
        </w:tblCellMar>
      </w:tblPr>
      <w:tblGrid>
        <w:gridCol w:w="1339"/>
        <w:gridCol w:w="1260"/>
        <w:gridCol w:w="1650"/>
        <w:gridCol w:w="1558"/>
        <w:gridCol w:w="1843"/>
        <w:gridCol w:w="1002"/>
      </w:tblGrid>
      <w:tr>
        <w:tblPrEx>
          <w:tblCellMar>
            <w:top w:w="0" w:type="dxa"/>
            <w:left w:w="108" w:type="dxa"/>
            <w:bottom w:w="0" w:type="dxa"/>
            <w:right w:w="108" w:type="dxa"/>
          </w:tblCellMar>
        </w:tblPrEx>
        <w:trPr>
          <w:trHeight w:val="437"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序号</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姓名</w:t>
            </w:r>
          </w:p>
        </w:tc>
        <w:tc>
          <w:tcPr>
            <w:tcW w:w="1650"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本项目任职</w:t>
            </w:r>
          </w:p>
        </w:tc>
        <w:tc>
          <w:tcPr>
            <w:tcW w:w="1558"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职称/资格</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资格证书编号</w:t>
            </w:r>
          </w:p>
        </w:tc>
        <w:tc>
          <w:tcPr>
            <w:tcW w:w="1002"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备注</w:t>
            </w: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trHeight w:val="96" w:hRule="atLeast"/>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p>
        </w:tc>
        <w:tc>
          <w:tcPr>
            <w:tcW w:w="126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650"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558"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c>
          <w:tcPr>
            <w:tcW w:w="1002" w:type="dxa"/>
            <w:tcBorders>
              <w:top w:val="single" w:color="auto" w:sz="4" w:space="0"/>
              <w:left w:val="nil"/>
              <w:bottom w:val="single" w:color="auto" w:sz="4" w:space="0"/>
              <w:right w:val="single" w:color="auto" w:sz="4" w:space="0"/>
            </w:tcBorders>
          </w:tcPr>
          <w:p>
            <w:pPr>
              <w:jc w:val="center"/>
              <w:rPr>
                <w:rFonts w:ascii="宋体" w:hAnsi="宋体" w:cs="宋体"/>
                <w:color w:val="000000"/>
              </w:rPr>
            </w:pPr>
          </w:p>
        </w:tc>
      </w:tr>
    </w:tbl>
    <w:p>
      <w:pPr>
        <w:jc w:val="center"/>
        <w:rPr>
          <w:rFonts w:ascii="仿宋_GB2312" w:eastAsia="仿宋_GB2312"/>
          <w:color w:val="000000"/>
        </w:rPr>
      </w:pPr>
    </w:p>
    <w:bookmarkEnd w:id="52"/>
    <w:bookmarkEnd w:id="53"/>
    <w:p>
      <w:pPr>
        <w:rPr>
          <w:rFonts w:ascii="宋体" w:hAnsi="宋体" w:cs="宋体"/>
          <w:sz w:val="32"/>
          <w:szCs w:val="32"/>
        </w:rPr>
      </w:pPr>
      <w:r>
        <w:rPr>
          <w:rFonts w:hint="eastAsia" w:ascii="宋体" w:hAnsi="宋体" w:cs="宋体"/>
          <w:sz w:val="32"/>
          <w:szCs w:val="32"/>
        </w:rPr>
        <w:br w:type="page"/>
      </w:r>
    </w:p>
    <w:p>
      <w:pPr>
        <w:pStyle w:val="4"/>
        <w:widowControl w:val="0"/>
        <w:spacing w:before="0" w:after="0"/>
        <w:jc w:val="both"/>
        <w:rPr>
          <w:rFonts w:ascii="宋体" w:hAnsi="宋体" w:cs="宋体"/>
        </w:rPr>
      </w:pPr>
      <w:r>
        <w:rPr>
          <w:rFonts w:hint="eastAsia" w:ascii="宋体" w:hAnsi="宋体" w:cs="宋体"/>
        </w:rPr>
        <w:t>附件四：</w:t>
      </w:r>
      <w:bookmarkEnd w:id="54"/>
      <w:bookmarkEnd w:id="55"/>
      <w:bookmarkEnd w:id="56"/>
    </w:p>
    <w:p>
      <w:pPr>
        <w:tabs>
          <w:tab w:val="left" w:pos="2700"/>
        </w:tabs>
        <w:spacing w:line="360" w:lineRule="auto"/>
        <w:jc w:val="center"/>
        <w:rPr>
          <w:rFonts w:ascii="宋体" w:hAnsi="宋体" w:cs="宋体"/>
          <w:b/>
          <w:sz w:val="32"/>
          <w:szCs w:val="32"/>
        </w:rPr>
      </w:pPr>
      <w:r>
        <w:rPr>
          <w:rFonts w:hint="eastAsia" w:ascii="宋体" w:hAnsi="宋体" w:cs="宋体"/>
          <w:b/>
          <w:sz w:val="32"/>
          <w:szCs w:val="32"/>
        </w:rPr>
        <w:t>用户需求书</w:t>
      </w:r>
    </w:p>
    <w:p>
      <w:pPr>
        <w:pStyle w:val="2"/>
        <w:ind w:firstLine="720"/>
        <w:rPr>
          <w:rFonts w:ascii="宋体" w:hAnsi="宋体" w:cs="宋体"/>
          <w:b/>
        </w:rPr>
      </w:pPr>
      <w:r>
        <w:rPr>
          <w:rFonts w:hint="eastAsia" w:ascii="宋体" w:hAnsi="宋体" w:eastAsia="宋体" w:cs="宋体"/>
          <w:kern w:val="0"/>
          <w:sz w:val="24"/>
          <w:szCs w:val="24"/>
        </w:rPr>
        <w:t>供应商须根据前期安全鉴定报告，对荔湾区上九路88号、荔湾区下九路114号、越秀区长堤大马路358、360、362、364号以及越秀区人民南路230号等四处物业（以下简称四处物业）进行整改加固初步设计，并出具包括但不限于物业整改加固初步设计文件、概算金额、验收标准等。四处物业基本情况如下：</w:t>
      </w:r>
    </w:p>
    <w:p>
      <w:pPr>
        <w:pStyle w:val="4"/>
      </w:pPr>
      <w:bookmarkStart w:id="59" w:name="_Toc51933477"/>
      <w:bookmarkStart w:id="60" w:name="_Toc51932491"/>
      <w:r>
        <w:rPr>
          <w:rFonts w:hint="eastAsia"/>
        </w:rPr>
        <w:t>四处物业基本情况表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077"/>
        <w:gridCol w:w="1176"/>
        <w:gridCol w:w="899"/>
        <w:gridCol w:w="425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50" w:type="pct"/>
            <w:vAlign w:val="center"/>
          </w:tcPr>
          <w:p>
            <w:pPr>
              <w:widowControl w:val="0"/>
              <w:jc w:val="center"/>
              <w:rPr>
                <w:rFonts w:ascii="宋体" w:hAnsi="宋体" w:cs="宋体"/>
                <w:b/>
                <w:bCs/>
              </w:rPr>
            </w:pPr>
            <w:r>
              <w:rPr>
                <w:rFonts w:hint="eastAsia" w:ascii="宋体" w:hAnsi="宋体" w:cs="宋体"/>
                <w:b/>
                <w:bCs/>
              </w:rPr>
              <w:t>编号</w:t>
            </w:r>
          </w:p>
        </w:tc>
        <w:tc>
          <w:tcPr>
            <w:tcW w:w="581" w:type="pct"/>
            <w:vAlign w:val="center"/>
          </w:tcPr>
          <w:p>
            <w:pPr>
              <w:widowControl w:val="0"/>
              <w:jc w:val="center"/>
              <w:rPr>
                <w:rFonts w:ascii="宋体" w:hAnsi="宋体" w:cs="宋体"/>
                <w:b/>
                <w:bCs/>
              </w:rPr>
            </w:pPr>
            <w:r>
              <w:rPr>
                <w:rFonts w:hint="eastAsia" w:ascii="宋体" w:hAnsi="宋体" w:cs="宋体"/>
                <w:b/>
                <w:bCs/>
              </w:rPr>
              <w:t>所在地址</w:t>
            </w:r>
          </w:p>
        </w:tc>
        <w:tc>
          <w:tcPr>
            <w:tcW w:w="623" w:type="pct"/>
            <w:vAlign w:val="center"/>
          </w:tcPr>
          <w:p>
            <w:pPr>
              <w:widowControl w:val="0"/>
              <w:jc w:val="center"/>
              <w:rPr>
                <w:rFonts w:ascii="宋体" w:hAnsi="宋体" w:cs="宋体"/>
                <w:b/>
                <w:bCs/>
              </w:rPr>
            </w:pPr>
            <w:r>
              <w:rPr>
                <w:rFonts w:hint="eastAsia" w:ascii="宋体" w:hAnsi="宋体" w:cs="宋体"/>
                <w:b/>
                <w:bCs/>
              </w:rPr>
              <w:t>物业面积（㎡）</w:t>
            </w:r>
          </w:p>
        </w:tc>
        <w:tc>
          <w:tcPr>
            <w:tcW w:w="486" w:type="pct"/>
            <w:vAlign w:val="center"/>
          </w:tcPr>
          <w:p>
            <w:pPr>
              <w:widowControl w:val="0"/>
              <w:jc w:val="center"/>
              <w:rPr>
                <w:rFonts w:ascii="宋体" w:hAnsi="宋体" w:cs="宋体"/>
                <w:b/>
                <w:bCs/>
              </w:rPr>
            </w:pPr>
            <w:r>
              <w:rPr>
                <w:rFonts w:hint="eastAsia" w:ascii="宋体" w:hAnsi="宋体" w:cs="宋体"/>
                <w:b/>
                <w:bCs/>
              </w:rPr>
              <w:t>用途</w:t>
            </w:r>
          </w:p>
        </w:tc>
        <w:tc>
          <w:tcPr>
            <w:tcW w:w="2292" w:type="pct"/>
            <w:vAlign w:val="center"/>
          </w:tcPr>
          <w:p>
            <w:pPr>
              <w:widowControl w:val="0"/>
              <w:jc w:val="center"/>
              <w:rPr>
                <w:rFonts w:ascii="宋体" w:hAnsi="宋体" w:cs="宋体"/>
                <w:b/>
                <w:bCs/>
              </w:rPr>
            </w:pPr>
            <w:r>
              <w:rPr>
                <w:rFonts w:hint="eastAsia" w:ascii="宋体" w:hAnsi="宋体" w:cs="宋体"/>
                <w:b/>
                <w:bCs/>
              </w:rPr>
              <w:t>房屋安全鉴定情况</w:t>
            </w:r>
          </w:p>
        </w:tc>
        <w:tc>
          <w:tcPr>
            <w:tcW w:w="764" w:type="pct"/>
            <w:vAlign w:val="center"/>
          </w:tcPr>
          <w:p>
            <w:pPr>
              <w:widowControl w:val="0"/>
              <w:jc w:val="center"/>
              <w:rPr>
                <w:rFonts w:ascii="宋体" w:hAnsi="宋体" w:cs="宋体"/>
                <w:b/>
                <w:bCs/>
              </w:rPr>
            </w:pPr>
            <w:r>
              <w:rPr>
                <w:rFonts w:hint="eastAsia" w:ascii="宋体" w:hAnsi="宋体" w:cs="宋体"/>
                <w:b/>
                <w:bCs/>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 w:type="pct"/>
            <w:vAlign w:val="center"/>
          </w:tcPr>
          <w:p>
            <w:pPr>
              <w:widowControl w:val="0"/>
              <w:jc w:val="both"/>
              <w:rPr>
                <w:rFonts w:ascii="宋体" w:hAnsi="宋体" w:cs="宋体"/>
              </w:rPr>
            </w:pPr>
            <w:r>
              <w:rPr>
                <w:rFonts w:hint="eastAsia" w:ascii="宋体" w:hAnsi="宋体" w:cs="宋体"/>
              </w:rPr>
              <w:t>1</w:t>
            </w:r>
          </w:p>
        </w:tc>
        <w:tc>
          <w:tcPr>
            <w:tcW w:w="581" w:type="pct"/>
            <w:vAlign w:val="center"/>
          </w:tcPr>
          <w:p>
            <w:pPr>
              <w:widowControl w:val="0"/>
              <w:jc w:val="both"/>
              <w:rPr>
                <w:rFonts w:ascii="宋体" w:hAnsi="宋体" w:cs="宋体"/>
              </w:rPr>
            </w:pPr>
            <w:r>
              <w:rPr>
                <w:rFonts w:hint="eastAsia" w:ascii="宋体" w:hAnsi="宋体" w:cs="宋体"/>
              </w:rPr>
              <w:t>荔湾区上九路88号</w:t>
            </w:r>
          </w:p>
        </w:tc>
        <w:tc>
          <w:tcPr>
            <w:tcW w:w="623" w:type="pct"/>
            <w:vAlign w:val="center"/>
          </w:tcPr>
          <w:p>
            <w:pPr>
              <w:widowControl w:val="0"/>
              <w:jc w:val="both"/>
              <w:rPr>
                <w:rFonts w:ascii="宋体" w:hAnsi="宋体" w:cs="宋体"/>
              </w:rPr>
            </w:pPr>
            <w:r>
              <w:rPr>
                <w:rFonts w:hint="eastAsia" w:ascii="宋体" w:hAnsi="宋体" w:cs="宋体"/>
              </w:rPr>
              <w:t>414.37</w:t>
            </w:r>
          </w:p>
        </w:tc>
        <w:tc>
          <w:tcPr>
            <w:tcW w:w="486" w:type="pct"/>
            <w:vAlign w:val="center"/>
          </w:tcPr>
          <w:p>
            <w:pPr>
              <w:widowControl w:val="0"/>
              <w:jc w:val="both"/>
              <w:rPr>
                <w:rFonts w:ascii="宋体" w:hAnsi="宋体" w:cs="宋体"/>
              </w:rPr>
            </w:pPr>
            <w:r>
              <w:rPr>
                <w:rFonts w:hint="eastAsia" w:ascii="宋体" w:hAnsi="宋体" w:cs="宋体"/>
              </w:rPr>
              <w:t>首层为商业、二至四层为住宅</w:t>
            </w:r>
          </w:p>
        </w:tc>
        <w:tc>
          <w:tcPr>
            <w:tcW w:w="2292" w:type="pct"/>
            <w:vAlign w:val="center"/>
          </w:tcPr>
          <w:p>
            <w:pPr>
              <w:widowControl w:val="0"/>
              <w:jc w:val="both"/>
              <w:rPr>
                <w:rFonts w:ascii="宋体" w:hAnsi="宋体" w:cs="宋体"/>
              </w:rPr>
            </w:pPr>
            <w:r>
              <w:rPr>
                <w:rFonts w:hint="eastAsia" w:ascii="宋体" w:hAnsi="宋体" w:cs="宋体"/>
              </w:rPr>
              <w:t>房屋可靠性鉴定等级为Ⅳ级，满足A类建筑抗震鉴定要求。</w:t>
            </w:r>
          </w:p>
          <w:p>
            <w:pPr>
              <w:widowControl w:val="0"/>
              <w:jc w:val="both"/>
              <w:rPr>
                <w:rFonts w:ascii="宋体" w:hAnsi="宋体" w:cs="宋体"/>
              </w:rPr>
            </w:pPr>
            <w:r>
              <w:rPr>
                <w:rFonts w:hint="eastAsia" w:ascii="宋体" w:hAnsi="宋体" w:cs="宋体"/>
              </w:rPr>
              <w:t>1.大部分构件钢筋存在锈蚀现象。</w:t>
            </w:r>
          </w:p>
          <w:p>
            <w:pPr>
              <w:widowControl w:val="0"/>
              <w:jc w:val="both"/>
              <w:rPr>
                <w:rFonts w:ascii="宋体" w:hAnsi="宋体" w:cs="宋体"/>
              </w:rPr>
            </w:pPr>
            <w:r>
              <w:rPr>
                <w:rFonts w:hint="eastAsia" w:ascii="宋体" w:hAnsi="宋体" w:cs="宋体"/>
              </w:rPr>
              <w:t>2.混凝土柱、梁构件碳化深度均超过受力钢筋保护层厚度。</w:t>
            </w:r>
          </w:p>
          <w:p>
            <w:pPr>
              <w:widowControl w:val="0"/>
              <w:jc w:val="both"/>
              <w:rPr>
                <w:rFonts w:ascii="宋体" w:hAnsi="宋体" w:cs="宋体"/>
              </w:rPr>
            </w:pPr>
            <w:r>
              <w:rPr>
                <w:rFonts w:hint="eastAsia" w:ascii="宋体" w:hAnsi="宋体" w:cs="宋体"/>
              </w:rPr>
              <w:t>3.部分板存在大面积开洞现象。</w:t>
            </w:r>
          </w:p>
          <w:p>
            <w:pPr>
              <w:widowControl w:val="0"/>
              <w:jc w:val="both"/>
              <w:rPr>
                <w:rFonts w:ascii="宋体" w:hAnsi="宋体" w:cs="宋体"/>
              </w:rPr>
            </w:pPr>
            <w:r>
              <w:rPr>
                <w:rFonts w:hint="eastAsia" w:ascii="宋体" w:hAnsi="宋体" w:cs="宋体"/>
              </w:rPr>
              <w:t>4.单跨结构，填充墙不嵌砌于框架平面内，而是与框架结构贴建，和周围房屋之间未设置防震缝。</w:t>
            </w:r>
          </w:p>
          <w:p>
            <w:pPr>
              <w:widowControl w:val="0"/>
              <w:jc w:val="both"/>
              <w:rPr>
                <w:rFonts w:ascii="宋体" w:hAnsi="宋体" w:cs="宋体"/>
              </w:rPr>
            </w:pPr>
            <w:r>
              <w:rPr>
                <w:rFonts w:hint="eastAsia" w:ascii="宋体" w:hAnsi="宋体" w:cs="宋体"/>
              </w:rPr>
              <w:t>5.部分柱、梁、板承载力不足。</w:t>
            </w:r>
          </w:p>
        </w:tc>
        <w:tc>
          <w:tcPr>
            <w:tcW w:w="764" w:type="pct"/>
            <w:vAlign w:val="center"/>
          </w:tcPr>
          <w:p>
            <w:pPr>
              <w:widowControl w:val="0"/>
              <w:jc w:val="both"/>
              <w:rPr>
                <w:rFonts w:ascii="宋体" w:hAnsi="宋体" w:cs="宋体"/>
              </w:rPr>
            </w:pPr>
            <w:r>
              <w:rPr>
                <w:rFonts w:hint="eastAsia" w:ascii="宋体" w:hAnsi="宋体" w:cs="宋体"/>
              </w:rPr>
              <w:t>根据鉴定结果，应对房屋实施加固处理等有效措施并经验收合格后，方可使用。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 w:type="pct"/>
            <w:vAlign w:val="center"/>
          </w:tcPr>
          <w:p>
            <w:pPr>
              <w:widowControl w:val="0"/>
              <w:jc w:val="both"/>
              <w:rPr>
                <w:rFonts w:ascii="宋体" w:hAnsi="宋体" w:cs="宋体"/>
              </w:rPr>
            </w:pPr>
            <w:r>
              <w:rPr>
                <w:rFonts w:hint="eastAsia" w:ascii="宋体" w:hAnsi="宋体" w:cs="宋体"/>
              </w:rPr>
              <w:t>2</w:t>
            </w:r>
          </w:p>
        </w:tc>
        <w:tc>
          <w:tcPr>
            <w:tcW w:w="581" w:type="pct"/>
            <w:vAlign w:val="center"/>
          </w:tcPr>
          <w:p>
            <w:pPr>
              <w:widowControl w:val="0"/>
              <w:jc w:val="both"/>
              <w:rPr>
                <w:rFonts w:ascii="宋体" w:hAnsi="宋体" w:cs="宋体"/>
              </w:rPr>
            </w:pPr>
            <w:r>
              <w:rPr>
                <w:rFonts w:hint="eastAsia" w:ascii="宋体" w:hAnsi="宋体" w:cs="宋体"/>
              </w:rPr>
              <w:t>荔湾区下九路114号</w:t>
            </w:r>
          </w:p>
        </w:tc>
        <w:tc>
          <w:tcPr>
            <w:tcW w:w="623" w:type="pct"/>
            <w:vAlign w:val="center"/>
          </w:tcPr>
          <w:p>
            <w:pPr>
              <w:widowControl w:val="0"/>
              <w:jc w:val="both"/>
              <w:rPr>
                <w:rFonts w:ascii="宋体" w:hAnsi="宋体" w:cs="宋体"/>
              </w:rPr>
            </w:pPr>
            <w:r>
              <w:rPr>
                <w:rFonts w:hint="eastAsia" w:ascii="宋体" w:hAnsi="宋体" w:cs="宋体"/>
              </w:rPr>
              <w:t>140.74</w:t>
            </w:r>
          </w:p>
        </w:tc>
        <w:tc>
          <w:tcPr>
            <w:tcW w:w="486" w:type="pct"/>
            <w:vAlign w:val="center"/>
          </w:tcPr>
          <w:p>
            <w:pPr>
              <w:widowControl w:val="0"/>
              <w:jc w:val="both"/>
              <w:rPr>
                <w:rFonts w:ascii="宋体" w:hAnsi="宋体" w:cs="宋体"/>
              </w:rPr>
            </w:pPr>
            <w:r>
              <w:rPr>
                <w:rFonts w:hint="eastAsia" w:ascii="宋体" w:hAnsi="宋体" w:cs="宋体"/>
              </w:rPr>
              <w:t>首层为商业、二、三层为住宅</w:t>
            </w:r>
          </w:p>
        </w:tc>
        <w:tc>
          <w:tcPr>
            <w:tcW w:w="2292" w:type="pct"/>
            <w:vAlign w:val="center"/>
          </w:tcPr>
          <w:p>
            <w:pPr>
              <w:widowControl w:val="0"/>
              <w:jc w:val="both"/>
              <w:rPr>
                <w:rFonts w:ascii="宋体" w:hAnsi="宋体" w:cs="宋体"/>
              </w:rPr>
            </w:pPr>
            <w:r>
              <w:rPr>
                <w:rFonts w:hint="eastAsia" w:ascii="宋体" w:hAnsi="宋体" w:cs="宋体"/>
              </w:rPr>
              <w:t>可靠性1-2层砌体、2层混凝土板件、2/3层房屋框架大部分为D级；不满足A类建筑抗震鉴定要求。</w:t>
            </w:r>
          </w:p>
          <w:p>
            <w:pPr>
              <w:widowControl w:val="0"/>
              <w:jc w:val="both"/>
              <w:rPr>
                <w:rFonts w:ascii="宋体" w:hAnsi="宋体" w:cs="宋体"/>
              </w:rPr>
            </w:pPr>
            <w:r>
              <w:rPr>
                <w:rFonts w:hint="eastAsia" w:ascii="宋体" w:hAnsi="宋体" w:cs="宋体"/>
              </w:rPr>
              <w:t>1.结构形式混乱。</w:t>
            </w:r>
          </w:p>
          <w:p>
            <w:pPr>
              <w:widowControl w:val="0"/>
              <w:jc w:val="both"/>
              <w:rPr>
                <w:rFonts w:ascii="宋体" w:hAnsi="宋体" w:cs="宋体"/>
              </w:rPr>
            </w:pPr>
            <w:r>
              <w:rPr>
                <w:rFonts w:hint="eastAsia" w:ascii="宋体" w:hAnsi="宋体" w:cs="宋体"/>
              </w:rPr>
              <w:t>2.混凝土柱、梁构件碳化深度均超过受力钢筋保护层厚度。</w:t>
            </w:r>
          </w:p>
          <w:p>
            <w:pPr>
              <w:widowControl w:val="0"/>
              <w:jc w:val="both"/>
              <w:rPr>
                <w:rFonts w:ascii="宋体" w:hAnsi="宋体" w:cs="宋体"/>
              </w:rPr>
            </w:pPr>
            <w:r>
              <w:rPr>
                <w:rFonts w:hint="eastAsia" w:ascii="宋体" w:hAnsi="宋体" w:cs="宋体"/>
              </w:rPr>
              <w:t>3.大多数木梁腐蚀严重。</w:t>
            </w:r>
          </w:p>
          <w:p>
            <w:pPr>
              <w:widowControl w:val="0"/>
              <w:jc w:val="both"/>
              <w:rPr>
                <w:rFonts w:ascii="宋体" w:hAnsi="宋体" w:cs="宋体"/>
              </w:rPr>
            </w:pPr>
            <w:r>
              <w:rPr>
                <w:rFonts w:hint="eastAsia" w:ascii="宋体" w:hAnsi="宋体" w:cs="宋体"/>
              </w:rPr>
              <w:t>4.部分承重墙、柱、梁、板承载力不足。</w:t>
            </w:r>
          </w:p>
        </w:tc>
        <w:tc>
          <w:tcPr>
            <w:tcW w:w="764" w:type="pct"/>
            <w:vAlign w:val="center"/>
          </w:tcPr>
          <w:p>
            <w:pPr>
              <w:widowControl w:val="0"/>
              <w:jc w:val="both"/>
              <w:rPr>
                <w:rFonts w:ascii="宋体" w:hAnsi="宋体" w:cs="宋体"/>
              </w:rPr>
            </w:pPr>
            <w:r>
              <w:rPr>
                <w:rFonts w:hint="eastAsia" w:ascii="宋体" w:hAnsi="宋体" w:cs="宋体"/>
              </w:rPr>
              <w:t>根据鉴定结果，应对房屋实施加固处理等有效措施并经验收合格后，方可使用。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 w:type="pct"/>
            <w:vAlign w:val="center"/>
          </w:tcPr>
          <w:p>
            <w:pPr>
              <w:widowControl w:val="0"/>
              <w:jc w:val="both"/>
              <w:rPr>
                <w:rFonts w:ascii="宋体" w:hAnsi="宋体" w:cs="宋体"/>
              </w:rPr>
            </w:pPr>
            <w:r>
              <w:rPr>
                <w:rFonts w:hint="eastAsia" w:ascii="宋体" w:hAnsi="宋体" w:cs="宋体"/>
              </w:rPr>
              <w:t>3</w:t>
            </w:r>
          </w:p>
        </w:tc>
        <w:tc>
          <w:tcPr>
            <w:tcW w:w="581" w:type="pct"/>
            <w:vAlign w:val="center"/>
          </w:tcPr>
          <w:p>
            <w:pPr>
              <w:widowControl w:val="0"/>
              <w:jc w:val="both"/>
              <w:rPr>
                <w:rFonts w:ascii="宋体" w:hAnsi="宋体" w:cs="宋体"/>
              </w:rPr>
            </w:pPr>
            <w:r>
              <w:rPr>
                <w:rFonts w:hint="eastAsia" w:ascii="宋体" w:hAnsi="宋体" w:cs="宋体"/>
              </w:rPr>
              <w:t>越秀区长堤大马路358、360、362、364号物业</w:t>
            </w:r>
          </w:p>
        </w:tc>
        <w:tc>
          <w:tcPr>
            <w:tcW w:w="623" w:type="pct"/>
            <w:vAlign w:val="center"/>
          </w:tcPr>
          <w:p>
            <w:pPr>
              <w:widowControl w:val="0"/>
              <w:jc w:val="both"/>
              <w:rPr>
                <w:rFonts w:ascii="宋体" w:hAnsi="宋体" w:cs="宋体"/>
              </w:rPr>
            </w:pPr>
            <w:r>
              <w:rPr>
                <w:rFonts w:hint="eastAsia" w:ascii="宋体" w:hAnsi="宋体" w:cs="宋体"/>
                <w:color w:val="000000"/>
              </w:rPr>
              <w:t>2,047.62</w:t>
            </w:r>
          </w:p>
        </w:tc>
        <w:tc>
          <w:tcPr>
            <w:tcW w:w="486" w:type="pct"/>
            <w:vAlign w:val="center"/>
          </w:tcPr>
          <w:p>
            <w:pPr>
              <w:widowControl w:val="0"/>
              <w:jc w:val="both"/>
              <w:rPr>
                <w:rFonts w:ascii="宋体" w:hAnsi="宋体" w:cs="宋体"/>
              </w:rPr>
            </w:pPr>
            <w:r>
              <w:rPr>
                <w:rFonts w:hint="eastAsia" w:ascii="宋体" w:hAnsi="宋体" w:cs="宋体"/>
              </w:rPr>
              <w:t>首层为商业，二、三层为住宅</w:t>
            </w:r>
          </w:p>
        </w:tc>
        <w:tc>
          <w:tcPr>
            <w:tcW w:w="2292" w:type="pct"/>
            <w:vAlign w:val="center"/>
          </w:tcPr>
          <w:p>
            <w:pPr>
              <w:widowControl w:val="0"/>
              <w:jc w:val="both"/>
              <w:rPr>
                <w:rFonts w:ascii="宋体" w:hAnsi="宋体" w:cs="宋体"/>
              </w:rPr>
            </w:pPr>
            <w:r>
              <w:rPr>
                <w:rFonts w:hint="eastAsia" w:ascii="宋体" w:hAnsi="宋体" w:cs="宋体"/>
              </w:rPr>
              <w:t>房屋可靠性鉴定等级为Ⅳ级，不满足A类建筑抗震鉴定要求。</w:t>
            </w:r>
          </w:p>
          <w:p>
            <w:pPr>
              <w:widowControl w:val="0"/>
              <w:jc w:val="both"/>
              <w:rPr>
                <w:rFonts w:ascii="宋体" w:hAnsi="宋体" w:cs="宋体"/>
              </w:rPr>
            </w:pPr>
            <w:r>
              <w:rPr>
                <w:rFonts w:hint="eastAsia" w:ascii="宋体" w:hAnsi="宋体" w:cs="宋体"/>
              </w:rPr>
              <w:t>1.结构体系混乱，存在加层现象。</w:t>
            </w:r>
          </w:p>
          <w:p>
            <w:pPr>
              <w:widowControl w:val="0"/>
              <w:jc w:val="both"/>
              <w:rPr>
                <w:rFonts w:ascii="宋体" w:hAnsi="宋体" w:cs="宋体"/>
              </w:rPr>
            </w:pPr>
            <w:r>
              <w:rPr>
                <w:rFonts w:hint="eastAsia" w:ascii="宋体" w:hAnsi="宋体" w:cs="宋体"/>
              </w:rPr>
              <w:t>2.大部分构件钢筋存在锈蚀现象。</w:t>
            </w:r>
          </w:p>
          <w:p>
            <w:pPr>
              <w:widowControl w:val="0"/>
              <w:jc w:val="both"/>
              <w:rPr>
                <w:rFonts w:ascii="宋体" w:hAnsi="宋体" w:cs="宋体"/>
              </w:rPr>
            </w:pPr>
            <w:r>
              <w:rPr>
                <w:rFonts w:hint="eastAsia" w:ascii="宋体" w:hAnsi="宋体" w:cs="宋体"/>
              </w:rPr>
              <w:t>3.混凝土梁构件碳化深度均超过受力钢筋保护层厚度。</w:t>
            </w:r>
          </w:p>
          <w:p>
            <w:pPr>
              <w:widowControl w:val="0"/>
              <w:jc w:val="both"/>
              <w:rPr>
                <w:rFonts w:ascii="宋体" w:hAnsi="宋体" w:cs="宋体"/>
              </w:rPr>
            </w:pPr>
            <w:r>
              <w:rPr>
                <w:rFonts w:hint="eastAsia" w:ascii="宋体" w:hAnsi="宋体" w:cs="宋体"/>
              </w:rPr>
              <w:t>4.局部区域采用蒸压加气混凝土砌块作为承重墙。</w:t>
            </w:r>
          </w:p>
          <w:p>
            <w:pPr>
              <w:widowControl w:val="0"/>
              <w:jc w:val="both"/>
              <w:rPr>
                <w:rFonts w:ascii="宋体" w:hAnsi="宋体" w:cs="宋体"/>
              </w:rPr>
            </w:pPr>
            <w:r>
              <w:rPr>
                <w:rFonts w:hint="eastAsia" w:ascii="宋体" w:hAnsi="宋体" w:cs="宋体"/>
              </w:rPr>
              <w:t>5.个别承重墙承载力不足。</w:t>
            </w:r>
          </w:p>
        </w:tc>
        <w:tc>
          <w:tcPr>
            <w:tcW w:w="764" w:type="pct"/>
            <w:vAlign w:val="center"/>
          </w:tcPr>
          <w:p>
            <w:pPr>
              <w:widowControl w:val="0"/>
              <w:jc w:val="both"/>
              <w:rPr>
                <w:rFonts w:ascii="宋体" w:hAnsi="宋体" w:cs="宋体"/>
              </w:rPr>
            </w:pPr>
            <w:r>
              <w:rPr>
                <w:rFonts w:hint="eastAsia" w:ascii="宋体" w:hAnsi="宋体" w:cs="宋体"/>
              </w:rPr>
              <w:t>根据鉴定结果，应对房屋实施加固处理等有效措施并经验收合格后，方可使用。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0" w:type="pct"/>
            <w:vAlign w:val="center"/>
          </w:tcPr>
          <w:p>
            <w:pPr>
              <w:widowControl w:val="0"/>
              <w:jc w:val="both"/>
              <w:rPr>
                <w:rFonts w:ascii="宋体" w:hAnsi="宋体" w:cs="宋体"/>
              </w:rPr>
            </w:pPr>
            <w:r>
              <w:rPr>
                <w:rFonts w:hint="eastAsia" w:ascii="宋体" w:hAnsi="宋体" w:cs="宋体"/>
              </w:rPr>
              <w:t>4</w:t>
            </w:r>
          </w:p>
        </w:tc>
        <w:tc>
          <w:tcPr>
            <w:tcW w:w="581" w:type="pct"/>
            <w:vAlign w:val="center"/>
          </w:tcPr>
          <w:p>
            <w:pPr>
              <w:widowControl w:val="0"/>
              <w:jc w:val="both"/>
              <w:rPr>
                <w:rFonts w:ascii="宋体" w:hAnsi="宋体" w:cs="宋体"/>
              </w:rPr>
            </w:pPr>
            <w:r>
              <w:rPr>
                <w:rFonts w:hint="eastAsia" w:ascii="宋体" w:hAnsi="宋体" w:cs="宋体"/>
              </w:rPr>
              <w:t>越秀区人民南路230号</w:t>
            </w:r>
          </w:p>
        </w:tc>
        <w:tc>
          <w:tcPr>
            <w:tcW w:w="623" w:type="pct"/>
            <w:vAlign w:val="center"/>
          </w:tcPr>
          <w:p>
            <w:pPr>
              <w:widowControl w:val="0"/>
              <w:jc w:val="both"/>
              <w:rPr>
                <w:rFonts w:ascii="宋体" w:hAnsi="宋体" w:cs="宋体"/>
              </w:rPr>
            </w:pPr>
            <w:r>
              <w:rPr>
                <w:rFonts w:hint="eastAsia" w:ascii="宋体" w:hAnsi="宋体" w:cs="宋体"/>
              </w:rPr>
              <w:t>727.22</w:t>
            </w:r>
          </w:p>
        </w:tc>
        <w:tc>
          <w:tcPr>
            <w:tcW w:w="486" w:type="pct"/>
            <w:vAlign w:val="center"/>
          </w:tcPr>
          <w:p>
            <w:pPr>
              <w:widowControl w:val="0"/>
              <w:jc w:val="both"/>
              <w:rPr>
                <w:rFonts w:ascii="宋体" w:hAnsi="宋体" w:cs="宋体"/>
              </w:rPr>
            </w:pPr>
            <w:r>
              <w:rPr>
                <w:rFonts w:hint="eastAsia" w:ascii="宋体" w:hAnsi="宋体" w:cs="宋体"/>
              </w:rPr>
              <w:t>工业，二层</w:t>
            </w:r>
          </w:p>
        </w:tc>
        <w:tc>
          <w:tcPr>
            <w:tcW w:w="2292" w:type="pct"/>
            <w:vAlign w:val="center"/>
          </w:tcPr>
          <w:p>
            <w:pPr>
              <w:widowControl w:val="0"/>
              <w:jc w:val="both"/>
              <w:rPr>
                <w:rFonts w:ascii="宋体" w:hAnsi="宋体" w:cs="宋体"/>
              </w:rPr>
            </w:pPr>
            <w:r>
              <w:rPr>
                <w:rFonts w:hint="eastAsia" w:ascii="宋体" w:hAnsi="宋体" w:cs="宋体"/>
              </w:rPr>
              <w:t>区域1/2/3房屋可靠性鉴定等级为Ⅳ级，区域1/3不满足A类建筑抗震鉴定要求。</w:t>
            </w:r>
          </w:p>
          <w:p>
            <w:pPr>
              <w:widowControl w:val="0"/>
              <w:jc w:val="both"/>
              <w:rPr>
                <w:rFonts w:ascii="宋体" w:hAnsi="宋体" w:cs="宋体"/>
              </w:rPr>
            </w:pPr>
            <w:r>
              <w:rPr>
                <w:rFonts w:hint="eastAsia" w:ascii="宋体" w:hAnsi="宋体" w:cs="宋体"/>
              </w:rPr>
              <w:t>1.大部分构件钢筋存在锈蚀现象。</w:t>
            </w:r>
          </w:p>
          <w:p>
            <w:pPr>
              <w:widowControl w:val="0"/>
              <w:jc w:val="both"/>
              <w:rPr>
                <w:rFonts w:ascii="宋体" w:hAnsi="宋体" w:cs="宋体"/>
              </w:rPr>
            </w:pPr>
            <w:r>
              <w:rPr>
                <w:rFonts w:hint="eastAsia" w:ascii="宋体" w:hAnsi="宋体" w:cs="宋体"/>
              </w:rPr>
              <w:t>2.部分填充墙体严重粉化。</w:t>
            </w:r>
          </w:p>
          <w:p>
            <w:pPr>
              <w:widowControl w:val="0"/>
              <w:jc w:val="both"/>
              <w:rPr>
                <w:rFonts w:ascii="宋体" w:hAnsi="宋体" w:cs="宋体"/>
              </w:rPr>
            </w:pPr>
            <w:r>
              <w:rPr>
                <w:rFonts w:hint="eastAsia" w:ascii="宋体" w:hAnsi="宋体" w:cs="宋体"/>
              </w:rPr>
              <w:t>3.瓦屋面木梁、木檩条腐蚀、变形严重。</w:t>
            </w:r>
          </w:p>
          <w:p>
            <w:pPr>
              <w:widowControl w:val="0"/>
              <w:jc w:val="both"/>
              <w:rPr>
                <w:rFonts w:ascii="宋体" w:hAnsi="宋体" w:cs="宋体"/>
              </w:rPr>
            </w:pPr>
            <w:r>
              <w:rPr>
                <w:rFonts w:hint="eastAsia" w:ascii="宋体" w:hAnsi="宋体" w:cs="宋体"/>
              </w:rPr>
              <w:t>4.屋面层天花大面积渗水、发霉、开裂。</w:t>
            </w:r>
          </w:p>
          <w:p>
            <w:pPr>
              <w:widowControl w:val="0"/>
              <w:jc w:val="both"/>
              <w:rPr>
                <w:rFonts w:ascii="宋体" w:hAnsi="宋体" w:cs="宋体"/>
              </w:rPr>
            </w:pPr>
            <w:r>
              <w:rPr>
                <w:rFonts w:hint="eastAsia" w:ascii="宋体" w:hAnsi="宋体" w:cs="宋体"/>
              </w:rPr>
              <w:t>5.混凝土柱、梁构件碳化深度均超过受力钢筋保护层厚度。</w:t>
            </w:r>
          </w:p>
          <w:p>
            <w:pPr>
              <w:widowControl w:val="0"/>
              <w:jc w:val="both"/>
              <w:rPr>
                <w:rFonts w:ascii="宋体" w:hAnsi="宋体" w:cs="宋体"/>
              </w:rPr>
            </w:pPr>
            <w:r>
              <w:rPr>
                <w:rFonts w:hint="eastAsia" w:ascii="宋体" w:hAnsi="宋体" w:cs="宋体"/>
              </w:rPr>
              <w:t>6.部分柱、梁、承载力不足。</w:t>
            </w:r>
          </w:p>
        </w:tc>
        <w:tc>
          <w:tcPr>
            <w:tcW w:w="764" w:type="pct"/>
            <w:vAlign w:val="center"/>
          </w:tcPr>
          <w:p>
            <w:pPr>
              <w:widowControl w:val="0"/>
              <w:jc w:val="both"/>
              <w:rPr>
                <w:rFonts w:ascii="宋体" w:hAnsi="宋体" w:cs="宋体"/>
              </w:rPr>
            </w:pPr>
            <w:r>
              <w:rPr>
                <w:rFonts w:hint="eastAsia" w:ascii="宋体" w:hAnsi="宋体" w:cs="宋体"/>
              </w:rPr>
              <w:t>根据鉴定结果，应对房屋实施加固处理等有效措施并经验收合格后，方可使用。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2" w:type="pct"/>
            <w:gridSpan w:val="2"/>
            <w:vAlign w:val="center"/>
          </w:tcPr>
          <w:p>
            <w:pPr>
              <w:widowControl w:val="0"/>
              <w:jc w:val="both"/>
              <w:rPr>
                <w:rFonts w:ascii="宋体" w:hAnsi="宋体" w:cs="宋体"/>
              </w:rPr>
            </w:pPr>
            <w:r>
              <w:rPr>
                <w:rFonts w:hint="eastAsia" w:ascii="宋体" w:hAnsi="宋体" w:cs="宋体"/>
              </w:rPr>
              <w:t>合计</w:t>
            </w:r>
          </w:p>
        </w:tc>
        <w:tc>
          <w:tcPr>
            <w:tcW w:w="623" w:type="pct"/>
            <w:vAlign w:val="center"/>
          </w:tcPr>
          <w:p>
            <w:pPr>
              <w:widowControl w:val="0"/>
              <w:jc w:val="both"/>
              <w:rPr>
                <w:rFonts w:ascii="宋体" w:hAnsi="宋体" w:cs="宋体"/>
              </w:rPr>
            </w:pPr>
            <w:r>
              <w:rPr>
                <w:rFonts w:hint="eastAsia" w:ascii="宋体" w:hAnsi="宋体" w:cs="宋体"/>
              </w:rPr>
              <w:t>3,329.95</w:t>
            </w:r>
          </w:p>
        </w:tc>
        <w:tc>
          <w:tcPr>
            <w:tcW w:w="486" w:type="pct"/>
            <w:vAlign w:val="center"/>
          </w:tcPr>
          <w:p>
            <w:pPr>
              <w:widowControl w:val="0"/>
              <w:jc w:val="both"/>
              <w:rPr>
                <w:rFonts w:ascii="宋体" w:hAnsi="宋体" w:cs="宋体"/>
              </w:rPr>
            </w:pPr>
          </w:p>
        </w:tc>
        <w:tc>
          <w:tcPr>
            <w:tcW w:w="2292" w:type="pct"/>
            <w:vAlign w:val="center"/>
          </w:tcPr>
          <w:p>
            <w:pPr>
              <w:widowControl w:val="0"/>
              <w:jc w:val="both"/>
              <w:rPr>
                <w:rFonts w:ascii="宋体" w:hAnsi="宋体" w:cs="宋体"/>
              </w:rPr>
            </w:pPr>
          </w:p>
        </w:tc>
        <w:tc>
          <w:tcPr>
            <w:tcW w:w="764" w:type="pct"/>
            <w:vAlign w:val="center"/>
          </w:tcPr>
          <w:p>
            <w:pPr>
              <w:widowControl w:val="0"/>
              <w:jc w:val="both"/>
              <w:rPr>
                <w:rFonts w:ascii="宋体" w:hAnsi="宋体" w:cs="宋体"/>
              </w:rPr>
            </w:pPr>
          </w:p>
        </w:tc>
      </w:tr>
    </w:tbl>
    <w:p>
      <w:pPr>
        <w:widowControl w:val="0"/>
        <w:spacing w:before="240" w:beforeLines="100"/>
        <w:jc w:val="both"/>
        <w:rPr>
          <w:rFonts w:ascii="宋体" w:hAnsi="宋体" w:cs="宋体"/>
        </w:rPr>
      </w:pPr>
      <w:r>
        <w:rPr>
          <w:rFonts w:hint="eastAsia" w:ascii="宋体" w:hAnsi="宋体" w:cs="宋体"/>
        </w:rPr>
        <w:t>注：关于四处物业房屋可靠性及抗震鉴定报告另行单独成册。</w:t>
      </w:r>
    </w:p>
    <w:p>
      <w:pPr>
        <w:pStyle w:val="4"/>
        <w:widowControl w:val="0"/>
        <w:spacing w:before="0" w:after="0"/>
        <w:jc w:val="both"/>
        <w:rPr>
          <w:rFonts w:ascii="宋体" w:hAnsi="宋体" w:cs="宋体"/>
          <w:bCs w:val="0"/>
        </w:rPr>
      </w:pPr>
      <w:r>
        <w:rPr>
          <w:rFonts w:hint="eastAsia" w:ascii="宋体" w:hAnsi="宋体" w:cs="宋体"/>
        </w:rPr>
        <w:br w:type="page"/>
      </w:r>
      <w:bookmarkStart w:id="61" w:name="_Toc28241"/>
      <w:bookmarkStart w:id="62" w:name="_Toc17418"/>
      <w:bookmarkStart w:id="63" w:name="_Toc25647"/>
      <w:r>
        <w:rPr>
          <w:rFonts w:hint="eastAsia" w:ascii="宋体" w:hAnsi="宋体" w:cs="宋体"/>
        </w:rPr>
        <w:t>附件五：响应文件格式</w:t>
      </w:r>
      <w:bookmarkEnd w:id="61"/>
      <w:bookmarkEnd w:id="62"/>
      <w:bookmarkEnd w:id="63"/>
    </w:p>
    <w:p>
      <w:pPr>
        <w:rPr>
          <w:rFonts w:ascii="宋体" w:hAnsi="宋体" w:cs="宋体"/>
        </w:rPr>
      </w:pPr>
    </w:p>
    <w:bookmarkEnd w:id="59"/>
    <w:bookmarkEnd w:id="60"/>
    <w:p>
      <w:pPr>
        <w:widowControl w:val="0"/>
        <w:wordWrap w:val="0"/>
        <w:spacing w:before="120" w:beforeLines="50" w:line="360" w:lineRule="auto"/>
        <w:rPr>
          <w:rFonts w:ascii="宋体" w:hAnsi="宋体" w:cs="宋体"/>
          <w:b/>
        </w:rPr>
      </w:pPr>
      <w:bookmarkStart w:id="64" w:name="_Toc51933489"/>
      <w:bookmarkStart w:id="65" w:name="_Toc517962750"/>
      <w:r>
        <w:rPr>
          <w:rFonts w:hint="eastAsia" w:ascii="宋体" w:hAnsi="宋体" w:cs="宋体"/>
          <w:b/>
        </w:rPr>
        <w:t xml:space="preserve">格式1： </w:t>
      </w:r>
    </w:p>
    <w:p>
      <w:pPr>
        <w:widowControl w:val="0"/>
        <w:wordWrap w:val="0"/>
        <w:spacing w:line="360" w:lineRule="auto"/>
        <w:jc w:val="center"/>
        <w:rPr>
          <w:rFonts w:ascii="宋体" w:hAnsi="宋体" w:cs="宋体"/>
          <w:b/>
          <w:sz w:val="32"/>
          <w:szCs w:val="36"/>
        </w:rPr>
      </w:pPr>
      <w:r>
        <w:rPr>
          <w:rFonts w:hint="eastAsia" w:ascii="宋体" w:hAnsi="宋体" w:cs="宋体"/>
          <w:b/>
          <w:sz w:val="32"/>
          <w:szCs w:val="36"/>
        </w:rPr>
        <w:t>法定代表人证明书</w:t>
      </w:r>
    </w:p>
    <w:p>
      <w:pPr>
        <w:widowControl w:val="0"/>
        <w:wordWrap w:val="0"/>
        <w:spacing w:line="360" w:lineRule="auto"/>
        <w:jc w:val="right"/>
        <w:rPr>
          <w:rFonts w:ascii="宋体" w:hAnsi="宋体" w:cs="宋体"/>
          <w:b/>
          <w:sz w:val="32"/>
          <w:szCs w:val="36"/>
        </w:rPr>
      </w:pPr>
      <w:r>
        <w:rPr>
          <w:rFonts w:hint="eastAsia" w:ascii="宋体" w:hAnsi="宋体" w:cs="宋体"/>
        </w:rPr>
        <mc:AlternateContent>
          <mc:Choice Requires="wps">
            <w:drawing>
              <wp:anchor distT="0" distB="0" distL="114300" distR="114300" simplePos="0" relativeHeight="251659264" behindDoc="1" locked="0" layoutInCell="1" allowOverlap="1">
                <wp:simplePos x="0" y="0"/>
                <wp:positionH relativeFrom="column">
                  <wp:posOffset>-111125</wp:posOffset>
                </wp:positionH>
                <wp:positionV relativeFrom="paragraph">
                  <wp:posOffset>399415</wp:posOffset>
                </wp:positionV>
                <wp:extent cx="5921375" cy="3118485"/>
                <wp:effectExtent l="4445" t="4445" r="17780" b="20320"/>
                <wp:wrapTight wrapText="bothSides">
                  <wp:wrapPolygon>
                    <wp:start x="-35" y="-65"/>
                    <wp:lineTo x="-35" y="21600"/>
                    <wp:lineTo x="21635" y="21600"/>
                    <wp:lineTo x="21635" y="-65"/>
                    <wp:lineTo x="-35" y="-65"/>
                  </wp:wrapPolygon>
                </wp:wrapTight>
                <wp:docPr id="1" name="文本框 4"/>
                <wp:cNvGraphicFramePr/>
                <a:graphic xmlns:a="http://schemas.openxmlformats.org/drawingml/2006/main">
                  <a:graphicData uri="http://schemas.microsoft.com/office/word/2010/wordprocessingShape">
                    <wps:wsp>
                      <wps:cNvSpPr txBox="1"/>
                      <wps:spPr>
                        <a:xfrm>
                          <a:off x="0" y="0"/>
                          <a:ext cx="5921375" cy="3118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0" w:line="360" w:lineRule="auto"/>
                              <w:ind w:firstLine="480" w:firstLineChars="200"/>
                              <w:rPr>
                                <w:rFonts w:ascii="宋体" w:hAnsi="宋体" w:cs="宋体"/>
                              </w:rPr>
                            </w:pPr>
                            <w:r>
                              <w:rPr>
                                <w:rFonts w:hint="eastAsia" w:ascii="宋体" w:hAnsi="宋体" w:cs="宋体"/>
                                <w:u w:val="single"/>
                              </w:rPr>
                              <w:t xml:space="preserve">      </w:t>
                            </w:r>
                            <w:r>
                              <w:rPr>
                                <w:rFonts w:hint="eastAsia" w:ascii="宋体" w:hAnsi="宋体" w:cs="宋体"/>
                              </w:rPr>
                              <w:t>现任我单位</w:t>
                            </w:r>
                            <w:r>
                              <w:rPr>
                                <w:rFonts w:hint="eastAsia" w:ascii="宋体" w:hAnsi="宋体" w:cs="宋体"/>
                                <w:u w:val="single"/>
                              </w:rPr>
                              <w:t xml:space="preserve">      </w:t>
                            </w:r>
                            <w:r>
                              <w:rPr>
                                <w:rFonts w:hint="eastAsia" w:ascii="宋体" w:hAnsi="宋体" w:cs="宋体"/>
                              </w:rPr>
                              <w:t>职务，为法定代表人（负责人），特此证明。</w:t>
                            </w:r>
                          </w:p>
                          <w:p>
                            <w:pPr>
                              <w:spacing w:line="360" w:lineRule="auto"/>
                              <w:ind w:firstLine="480" w:firstLineChars="200"/>
                              <w:rPr>
                                <w:rFonts w:ascii="宋体" w:hAnsi="宋体" w:cs="宋体"/>
                                <w:u w:val="single"/>
                              </w:rPr>
                            </w:pPr>
                            <w:r>
                              <w:rPr>
                                <w:rFonts w:hint="eastAsia" w:ascii="宋体" w:hAnsi="宋体" w:cs="宋体"/>
                              </w:rPr>
                              <w:t>有效期限：</w:t>
                            </w:r>
                            <w:r>
                              <w:rPr>
                                <w:rFonts w:hint="eastAsia" w:ascii="宋体" w:hAnsi="宋体" w:cs="宋体"/>
                                <w:u w:val="single"/>
                              </w:rPr>
                              <w:t>90日历天</w:t>
                            </w:r>
                          </w:p>
                          <w:p>
                            <w:pPr>
                              <w:wordWrap w:val="0"/>
                              <w:spacing w:line="360" w:lineRule="auto"/>
                              <w:rPr>
                                <w:rFonts w:ascii="宋体" w:hAnsi="宋体" w:cs="宋体"/>
                                <w:u w:val="single"/>
                              </w:rPr>
                            </w:pPr>
                            <w:r>
                              <w:rPr>
                                <w:rFonts w:hint="eastAsia" w:ascii="宋体" w:hAnsi="宋体" w:cs="宋体"/>
                              </w:rPr>
                              <w:t>附：法定代表人（负责人）性别：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经营范围：</w:t>
                            </w:r>
                            <w:r>
                              <w:rPr>
                                <w:rFonts w:hint="eastAsia" w:ascii="宋体" w:hAnsi="宋体" w:cs="宋体"/>
                                <w:u w:val="single"/>
                              </w:rPr>
                              <w:t xml:space="preserve">                                                          </w:t>
                            </w:r>
                          </w:p>
                          <w:p>
                            <w:pPr>
                              <w:wordWrap w:val="0"/>
                              <w:spacing w:line="360" w:lineRule="auto"/>
                              <w:ind w:firstLine="1701"/>
                              <w:rPr>
                                <w:rFonts w:ascii="宋体" w:hAnsi="宋体" w:cs="宋体"/>
                                <w:u w:val="single"/>
                              </w:rPr>
                            </w:pPr>
                            <w:r>
                              <w:rPr>
                                <w:rFonts w:hint="eastAsia" w:ascii="宋体" w:hAnsi="宋体" w:cs="宋体"/>
                                <w:u w:val="single"/>
                              </w:rPr>
                              <w:t xml:space="preserve">                                                          </w:t>
                            </w:r>
                          </w:p>
                          <w:p>
                            <w:pPr>
                              <w:spacing w:line="360" w:lineRule="auto"/>
                              <w:ind w:firstLine="570"/>
                              <w:jc w:val="right"/>
                              <w:rPr>
                                <w:rFonts w:ascii="宋体" w:hAnsi="宋体" w:cs="宋体"/>
                              </w:rPr>
                            </w:pPr>
                          </w:p>
                          <w:p>
                            <w:pPr>
                              <w:wordWrap w:val="0"/>
                              <w:spacing w:line="360" w:lineRule="auto"/>
                              <w:ind w:firstLine="570"/>
                              <w:jc w:val="right"/>
                              <w:rPr>
                                <w:rFonts w:ascii="宋体" w:hAnsi="宋体" w:cs="宋体"/>
                              </w:rPr>
                            </w:pPr>
                            <w:r>
                              <w:rPr>
                                <w:rFonts w:hint="eastAsia" w:ascii="宋体" w:hAnsi="宋体" w:cs="宋体"/>
                              </w:rPr>
                              <w:t xml:space="preserve">企业名称：        （公章）  </w:t>
                            </w:r>
                          </w:p>
                          <w:p>
                            <w:pPr>
                              <w:wordWrap w:val="0"/>
                              <w:spacing w:line="360" w:lineRule="auto"/>
                              <w:ind w:firstLine="570"/>
                              <w:jc w:val="right"/>
                              <w:rPr>
                                <w:rFonts w:ascii="宋体" w:hAnsi="宋体"/>
                              </w:rPr>
                            </w:pPr>
                            <w:r>
                              <w:rPr>
                                <w:rFonts w:hint="eastAsia" w:ascii="宋体" w:hAnsi="宋体"/>
                              </w:rPr>
                              <w:t xml:space="preserve">    年   月   日   </w:t>
                            </w:r>
                          </w:p>
                        </w:txbxContent>
                      </wps:txbx>
                      <wps:bodyPr wrap="square" upright="1"/>
                    </wps:wsp>
                  </a:graphicData>
                </a:graphic>
              </wp:anchor>
            </w:drawing>
          </mc:Choice>
          <mc:Fallback>
            <w:pict>
              <v:shape id="文本框 4" o:spid="_x0000_s1026" o:spt="202" type="#_x0000_t202" style="position:absolute;left:0pt;margin-left:-8.75pt;margin-top:31.45pt;height:245.55pt;width:466.25pt;mso-wrap-distance-left:9pt;mso-wrap-distance-right:9pt;z-index:-251657216;mso-width-relative:page;mso-height-relative:page;" fillcolor="#FFFFFF" filled="t" stroked="t" coordsize="21600,21600" wrapcoords="-35 -65 -35 21600 21635 21600 21635 -65 -35 -65" o:gfxdata="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2Rr8PaAAAACgEAAA8A&#10;AAAAAAAAAQAgAAAAIgAAAGRycy9kb3ducmV2LnhtbFBLAQIUABQAAAAIAIdO4kBpBHAYFQIAAEUE&#10;AAAOAAAAAAAAAAEAIAAAACkBAABkcnMvZTJvRG9jLnhtbFBLBQYAAAAABgAGAFkBAACwBQAAAAA=&#10;">
                <v:fill on="t" focussize="0,0"/>
                <v:stroke color="#000000" joinstyle="miter"/>
                <v:imagedata o:title=""/>
                <o:lock v:ext="edit" aspectratio="f"/>
                <v:textbox>
                  <w:txbxContent>
                    <w:p>
                      <w:pPr>
                        <w:spacing w:before="240" w:line="360" w:lineRule="auto"/>
                        <w:ind w:firstLine="480" w:firstLineChars="200"/>
                        <w:rPr>
                          <w:rFonts w:ascii="宋体" w:hAnsi="宋体" w:cs="宋体"/>
                        </w:rPr>
                      </w:pPr>
                      <w:r>
                        <w:rPr>
                          <w:rFonts w:hint="eastAsia" w:ascii="宋体" w:hAnsi="宋体" w:cs="宋体"/>
                          <w:u w:val="single"/>
                        </w:rPr>
                        <w:t xml:space="preserve">      </w:t>
                      </w:r>
                      <w:r>
                        <w:rPr>
                          <w:rFonts w:hint="eastAsia" w:ascii="宋体" w:hAnsi="宋体" w:cs="宋体"/>
                        </w:rPr>
                        <w:t>现任我单位</w:t>
                      </w:r>
                      <w:r>
                        <w:rPr>
                          <w:rFonts w:hint="eastAsia" w:ascii="宋体" w:hAnsi="宋体" w:cs="宋体"/>
                          <w:u w:val="single"/>
                        </w:rPr>
                        <w:t xml:space="preserve">      </w:t>
                      </w:r>
                      <w:r>
                        <w:rPr>
                          <w:rFonts w:hint="eastAsia" w:ascii="宋体" w:hAnsi="宋体" w:cs="宋体"/>
                        </w:rPr>
                        <w:t>职务，为法定代表人（负责人），特此证明。</w:t>
                      </w:r>
                    </w:p>
                    <w:p>
                      <w:pPr>
                        <w:spacing w:line="360" w:lineRule="auto"/>
                        <w:ind w:firstLine="480" w:firstLineChars="200"/>
                        <w:rPr>
                          <w:rFonts w:ascii="宋体" w:hAnsi="宋体" w:cs="宋体"/>
                          <w:u w:val="single"/>
                        </w:rPr>
                      </w:pPr>
                      <w:r>
                        <w:rPr>
                          <w:rFonts w:hint="eastAsia" w:ascii="宋体" w:hAnsi="宋体" w:cs="宋体"/>
                        </w:rPr>
                        <w:t>有效期限：</w:t>
                      </w:r>
                      <w:r>
                        <w:rPr>
                          <w:rFonts w:hint="eastAsia" w:ascii="宋体" w:hAnsi="宋体" w:cs="宋体"/>
                          <w:u w:val="single"/>
                        </w:rPr>
                        <w:t>90日历天</w:t>
                      </w:r>
                    </w:p>
                    <w:p>
                      <w:pPr>
                        <w:wordWrap w:val="0"/>
                        <w:spacing w:line="360" w:lineRule="auto"/>
                        <w:rPr>
                          <w:rFonts w:ascii="宋体" w:hAnsi="宋体" w:cs="宋体"/>
                          <w:u w:val="single"/>
                        </w:rPr>
                      </w:pPr>
                      <w:r>
                        <w:rPr>
                          <w:rFonts w:hint="eastAsia" w:ascii="宋体" w:hAnsi="宋体" w:cs="宋体"/>
                        </w:rPr>
                        <w:t>附：法定代表人（负责人）性别：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经营范围：</w:t>
                      </w:r>
                      <w:r>
                        <w:rPr>
                          <w:rFonts w:hint="eastAsia" w:ascii="宋体" w:hAnsi="宋体" w:cs="宋体"/>
                          <w:u w:val="single"/>
                        </w:rPr>
                        <w:t xml:space="preserve">                                                          </w:t>
                      </w:r>
                    </w:p>
                    <w:p>
                      <w:pPr>
                        <w:wordWrap w:val="0"/>
                        <w:spacing w:line="360" w:lineRule="auto"/>
                        <w:ind w:firstLine="1701"/>
                        <w:rPr>
                          <w:rFonts w:ascii="宋体" w:hAnsi="宋体" w:cs="宋体"/>
                          <w:u w:val="single"/>
                        </w:rPr>
                      </w:pPr>
                      <w:r>
                        <w:rPr>
                          <w:rFonts w:hint="eastAsia" w:ascii="宋体" w:hAnsi="宋体" w:cs="宋体"/>
                          <w:u w:val="single"/>
                        </w:rPr>
                        <w:t xml:space="preserve">                                                          </w:t>
                      </w:r>
                    </w:p>
                    <w:p>
                      <w:pPr>
                        <w:spacing w:line="360" w:lineRule="auto"/>
                        <w:ind w:firstLine="570"/>
                        <w:jc w:val="right"/>
                        <w:rPr>
                          <w:rFonts w:ascii="宋体" w:hAnsi="宋体" w:cs="宋体"/>
                        </w:rPr>
                      </w:pPr>
                    </w:p>
                    <w:p>
                      <w:pPr>
                        <w:wordWrap w:val="0"/>
                        <w:spacing w:line="360" w:lineRule="auto"/>
                        <w:ind w:firstLine="570"/>
                        <w:jc w:val="right"/>
                        <w:rPr>
                          <w:rFonts w:ascii="宋体" w:hAnsi="宋体" w:cs="宋体"/>
                        </w:rPr>
                      </w:pPr>
                      <w:r>
                        <w:rPr>
                          <w:rFonts w:hint="eastAsia" w:ascii="宋体" w:hAnsi="宋体" w:cs="宋体"/>
                        </w:rPr>
                        <w:t xml:space="preserve">企业名称：        （公章）  </w:t>
                      </w:r>
                    </w:p>
                    <w:p>
                      <w:pPr>
                        <w:wordWrap w:val="0"/>
                        <w:spacing w:line="360" w:lineRule="auto"/>
                        <w:ind w:firstLine="570"/>
                        <w:jc w:val="right"/>
                        <w:rPr>
                          <w:rFonts w:ascii="宋体" w:hAnsi="宋体"/>
                        </w:rPr>
                      </w:pPr>
                      <w:r>
                        <w:rPr>
                          <w:rFonts w:hint="eastAsia" w:ascii="宋体" w:hAnsi="宋体"/>
                        </w:rPr>
                        <w:t xml:space="preserve">    年   月   日   </w:t>
                      </w:r>
                    </w:p>
                  </w:txbxContent>
                </v:textbox>
                <w10:wrap type="tight"/>
              </v:shape>
            </w:pict>
          </mc:Fallback>
        </mc:AlternateContent>
      </w:r>
      <w:r>
        <w:rPr>
          <w:rFonts w:hint="eastAsia" w:ascii="宋体" w:hAnsi="宋体" w:cs="宋体"/>
        </w:rPr>
        <w:t>（    ）第   号</w:t>
      </w:r>
    </w:p>
    <w:p>
      <w:pPr>
        <w:widowControl w:val="0"/>
        <w:wordWrap w:val="0"/>
        <w:spacing w:line="276" w:lineRule="auto"/>
        <w:rPr>
          <w:rFonts w:ascii="宋体" w:hAnsi="宋体" w:cs="宋体"/>
        </w:rPr>
      </w:pPr>
      <w:r>
        <w:rPr>
          <w:rFonts w:hint="eastAsia" w:ascii="宋体" w:hAnsi="宋体" w:cs="宋体"/>
        </w:rPr>
        <w:t>注：法定代表人证明书也可以采用工商行政管理局统一印制的格式。</w:t>
      </w:r>
    </w:p>
    <w:p>
      <w:pPr>
        <w:widowControl w:val="0"/>
        <w:wordWrap w:val="0"/>
        <w:spacing w:before="120" w:beforeLines="50" w:line="360" w:lineRule="auto"/>
        <w:rPr>
          <w:rFonts w:ascii="宋体" w:hAnsi="宋体" w:cs="宋体"/>
          <w:szCs w:val="21"/>
        </w:rPr>
      </w:pPr>
      <w:r>
        <w:rPr>
          <w:rFonts w:hint="eastAsia" w:ascii="宋体" w:hAnsi="宋体" w:cs="宋体"/>
          <w:szCs w:val="21"/>
        </w:rPr>
        <w:br w:type="page"/>
      </w:r>
      <w:bookmarkStart w:id="66" w:name="_Toc51933488"/>
    </w:p>
    <w:p>
      <w:pPr>
        <w:widowControl w:val="0"/>
        <w:wordWrap w:val="0"/>
        <w:spacing w:before="120" w:beforeLines="50" w:line="360" w:lineRule="auto"/>
        <w:rPr>
          <w:rFonts w:ascii="宋体" w:hAnsi="宋体" w:cs="宋体"/>
          <w:b/>
        </w:rPr>
      </w:pPr>
      <w:r>
        <w:rPr>
          <w:rFonts w:hint="eastAsia" w:ascii="宋体" w:hAnsi="宋体" w:cs="宋体"/>
          <w:b/>
        </w:rPr>
        <w:t>格式2</w:t>
      </w:r>
      <w:bookmarkEnd w:id="66"/>
      <w:r>
        <w:rPr>
          <w:rFonts w:hint="eastAsia" w:ascii="宋体" w:hAnsi="宋体" w:cs="宋体"/>
          <w:b/>
        </w:rPr>
        <w:t>：</w:t>
      </w:r>
    </w:p>
    <w:p>
      <w:pPr>
        <w:widowControl w:val="0"/>
        <w:wordWrap w:val="0"/>
        <w:spacing w:line="360" w:lineRule="auto"/>
        <w:jc w:val="center"/>
        <w:rPr>
          <w:rFonts w:ascii="宋体" w:hAnsi="宋体" w:cs="宋体"/>
          <w:b/>
          <w:sz w:val="32"/>
          <w:szCs w:val="36"/>
        </w:rPr>
      </w:pPr>
      <w:r>
        <w:rPr>
          <w:rFonts w:hint="eastAsia" w:ascii="宋体" w:hAnsi="宋体" w:cs="宋体"/>
          <w:b/>
          <w:sz w:val="32"/>
          <w:szCs w:val="36"/>
        </w:rPr>
        <w:t>法定代表人授权委托书</w:t>
      </w:r>
    </w:p>
    <w:p>
      <w:pPr>
        <w:widowControl w:val="0"/>
        <w:wordWrap w:val="0"/>
        <w:spacing w:line="360" w:lineRule="auto"/>
        <w:jc w:val="right"/>
        <w:rPr>
          <w:rFonts w:ascii="宋体" w:hAnsi="宋体" w:cs="宋体"/>
          <w:b/>
          <w:sz w:val="32"/>
          <w:szCs w:val="36"/>
        </w:rPr>
      </w:pPr>
      <w:r>
        <w:rPr>
          <w:rFonts w:hint="eastAsia" w:ascii="宋体" w:hAnsi="宋体" w:cs="宋体"/>
        </w:rPr>
        <w:t>（    ）第   号</w:t>
      </w:r>
    </w:p>
    <w:p>
      <w:pPr>
        <w:widowControl w:val="0"/>
        <w:wordWrap w:val="0"/>
        <w:spacing w:line="360" w:lineRule="auto"/>
        <w:rPr>
          <w:rFonts w:ascii="宋体" w:hAnsi="宋体" w:cs="宋体"/>
        </w:rPr>
      </w:pPr>
      <w:r>
        <w:rPr>
          <w:rFonts w:hint="eastAsia" w:ascii="宋体" w:hAnsi="宋体" w:cs="宋体"/>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ragraph">
                  <wp:posOffset>13970</wp:posOffset>
                </wp:positionV>
                <wp:extent cx="5921375" cy="3277235"/>
                <wp:effectExtent l="4445" t="4445" r="17780" b="13970"/>
                <wp:wrapTight wrapText="bothSides">
                  <wp:wrapPolygon>
                    <wp:start x="-35" y="-63"/>
                    <wp:lineTo x="-35" y="21600"/>
                    <wp:lineTo x="21635" y="21600"/>
                    <wp:lineTo x="21635" y="-63"/>
                    <wp:lineTo x="-35" y="-63"/>
                  </wp:wrapPolygon>
                </wp:wrapTight>
                <wp:docPr id="2" name="文本框 5"/>
                <wp:cNvGraphicFramePr/>
                <a:graphic xmlns:a="http://schemas.openxmlformats.org/drawingml/2006/main">
                  <a:graphicData uri="http://schemas.microsoft.com/office/word/2010/wordprocessingShape">
                    <wps:wsp>
                      <wps:cNvSpPr txBox="1"/>
                      <wps:spPr>
                        <a:xfrm>
                          <a:off x="0" y="0"/>
                          <a:ext cx="5921375" cy="3277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ordWrap w:val="0"/>
                              <w:spacing w:before="240" w:line="360" w:lineRule="auto"/>
                              <w:ind w:firstLine="480" w:firstLineChars="200"/>
                              <w:rPr>
                                <w:rFonts w:ascii="宋体" w:hAnsi="宋体" w:cs="宋体"/>
                                <w:u w:val="single"/>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有效期限：</w:t>
                            </w:r>
                            <w:r>
                              <w:rPr>
                                <w:rFonts w:hint="eastAsia" w:ascii="宋体" w:hAnsi="宋体" w:cs="宋体"/>
                                <w:u w:val="single"/>
                              </w:rPr>
                              <w:t>90日历天</w:t>
                            </w:r>
                          </w:p>
                          <w:p>
                            <w:pPr>
                              <w:wordWrap w:val="0"/>
                              <w:spacing w:line="360" w:lineRule="auto"/>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经营范围：</w:t>
                            </w:r>
                            <w:r>
                              <w:rPr>
                                <w:rFonts w:hint="eastAsia" w:ascii="宋体" w:hAnsi="宋体" w:cs="宋体"/>
                                <w:u w:val="single"/>
                              </w:rPr>
                              <w:t xml:space="preserve">                                                          </w:t>
                            </w:r>
                          </w:p>
                          <w:p>
                            <w:pPr>
                              <w:wordWrap w:val="0"/>
                              <w:spacing w:line="360" w:lineRule="auto"/>
                              <w:ind w:firstLine="1701"/>
                              <w:rPr>
                                <w:rFonts w:ascii="宋体" w:hAnsi="宋体" w:cs="宋体"/>
                                <w:u w:val="single"/>
                              </w:rPr>
                            </w:pPr>
                            <w:r>
                              <w:rPr>
                                <w:rFonts w:hint="eastAsia" w:ascii="宋体" w:hAnsi="宋体" w:cs="宋体"/>
                                <w:u w:val="single"/>
                              </w:rPr>
                              <w:t xml:space="preserve">                                                          </w:t>
                            </w:r>
                          </w:p>
                          <w:p>
                            <w:pPr>
                              <w:wordWrap w:val="0"/>
                              <w:spacing w:line="360" w:lineRule="auto"/>
                              <w:ind w:hanging="105"/>
                              <w:rPr>
                                <w:rFonts w:ascii="宋体" w:hAnsi="宋体" w:cs="宋体"/>
                                <w:u w:val="single"/>
                              </w:rPr>
                            </w:pPr>
                          </w:p>
                          <w:p>
                            <w:pPr>
                              <w:wordWrap w:val="0"/>
                              <w:spacing w:line="360" w:lineRule="auto"/>
                              <w:ind w:firstLine="480" w:firstLineChars="200"/>
                              <w:rPr>
                                <w:rFonts w:ascii="宋体" w:hAnsi="宋体" w:cs="宋体"/>
                                <w:u w:val="single"/>
                              </w:rPr>
                            </w:pPr>
                            <w:r>
                              <w:rPr>
                                <w:rFonts w:hint="eastAsia" w:ascii="宋体" w:hAnsi="宋体" w:cs="宋体"/>
                              </w:rPr>
                              <w:t>授权企业名称：</w:t>
                            </w:r>
                            <w:r>
                              <w:rPr>
                                <w:rFonts w:hint="eastAsia" w:ascii="宋体" w:hAnsi="宋体" w:cs="宋体"/>
                                <w:u w:val="single"/>
                              </w:rPr>
                              <w:t xml:space="preserve">                  </w:t>
                            </w:r>
                            <w:r>
                              <w:rPr>
                                <w:rFonts w:hint="eastAsia" w:ascii="宋体" w:hAnsi="宋体" w:cs="宋体"/>
                              </w:rPr>
                              <w:t>（公章）</w:t>
                            </w:r>
                          </w:p>
                          <w:p>
                            <w:pPr>
                              <w:wordWrap w:val="0"/>
                              <w:spacing w:line="360" w:lineRule="auto"/>
                              <w:ind w:firstLine="480" w:firstLineChars="200"/>
                              <w:rPr>
                                <w:rFonts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wordWrap w:val="0"/>
                              <w:spacing w:after="100" w:afterAutospacing="1" w:line="480" w:lineRule="atLeast"/>
                              <w:jc w:val="right"/>
                              <w:rPr>
                                <w:rFonts w:ascii="宋体" w:hAnsi="宋体" w:cs="宋体"/>
                              </w:rPr>
                            </w:pPr>
                            <w:r>
                              <w:rPr>
                                <w:rFonts w:hint="eastAsia" w:ascii="宋体" w:hAnsi="宋体" w:cs="宋体"/>
                              </w:rPr>
                              <w:t xml:space="preserve">    年   月   日   </w:t>
                            </w:r>
                          </w:p>
                        </w:txbxContent>
                      </wps:txbx>
                      <wps:bodyPr wrap="square" upright="1"/>
                    </wps:wsp>
                  </a:graphicData>
                </a:graphic>
              </wp:anchor>
            </w:drawing>
          </mc:Choice>
          <mc:Fallback>
            <w:pict>
              <v:shape id="文本框 5" o:spid="_x0000_s1026" o:spt="202" type="#_x0000_t202" style="position:absolute;left:0pt;margin-top:1.1pt;height:258.05pt;width:466.25pt;mso-position-horizontal:center;mso-wrap-distance-left:9pt;mso-wrap-distance-right:9pt;z-index:-251656192;mso-width-relative:page;mso-height-relative:page;" fillcolor="#FFFFFF" filled="t" stroked="t" coordsize="21600,21600" wrapcoords="-35 -63 -35 21600 21635 21600 21635 -63 -35 -63" o:gfxdata="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UlmJNcAAAAGAQAADwAA&#10;AAAAAAABACAAAAAiAAAAZHJzL2Rvd25yZXYueG1sUEsBAhQAFAAAAAgAh07iQHr8HAoXAgAARQQA&#10;AA4AAAAAAAAAAQAgAAAAJgEAAGRycy9lMm9Eb2MueG1sUEsFBgAAAAAGAAYAWQEAAK8FAAAAAA==&#10;">
                <v:fill on="t" focussize="0,0"/>
                <v:stroke color="#000000" joinstyle="miter"/>
                <v:imagedata o:title=""/>
                <o:lock v:ext="edit" aspectratio="f"/>
                <v:textbox>
                  <w:txbxContent>
                    <w:p>
                      <w:pPr>
                        <w:wordWrap w:val="0"/>
                        <w:spacing w:before="240" w:line="360" w:lineRule="auto"/>
                        <w:ind w:firstLine="480" w:firstLineChars="200"/>
                        <w:rPr>
                          <w:rFonts w:ascii="宋体" w:hAnsi="宋体" w:cs="宋体"/>
                          <w:u w:val="single"/>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有效期限：</w:t>
                      </w:r>
                      <w:r>
                        <w:rPr>
                          <w:rFonts w:hint="eastAsia" w:ascii="宋体" w:hAnsi="宋体" w:cs="宋体"/>
                          <w:u w:val="single"/>
                        </w:rPr>
                        <w:t>90日历天</w:t>
                      </w:r>
                    </w:p>
                    <w:p>
                      <w:pPr>
                        <w:wordWrap w:val="0"/>
                        <w:spacing w:line="360" w:lineRule="auto"/>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wordWrap w:val="0"/>
                        <w:spacing w:line="360" w:lineRule="auto"/>
                        <w:ind w:firstLine="480" w:firstLineChars="200"/>
                        <w:rPr>
                          <w:rFonts w:ascii="宋体" w:hAnsi="宋体" w:cs="宋体"/>
                          <w:u w:val="single"/>
                        </w:rPr>
                      </w:pPr>
                      <w:r>
                        <w:rPr>
                          <w:rFonts w:hint="eastAsia" w:ascii="宋体" w:hAnsi="宋体" w:cs="宋体"/>
                        </w:rPr>
                        <w:t>经营范围：</w:t>
                      </w:r>
                      <w:r>
                        <w:rPr>
                          <w:rFonts w:hint="eastAsia" w:ascii="宋体" w:hAnsi="宋体" w:cs="宋体"/>
                          <w:u w:val="single"/>
                        </w:rPr>
                        <w:t xml:space="preserve">                                                          </w:t>
                      </w:r>
                    </w:p>
                    <w:p>
                      <w:pPr>
                        <w:wordWrap w:val="0"/>
                        <w:spacing w:line="360" w:lineRule="auto"/>
                        <w:ind w:firstLine="1701"/>
                        <w:rPr>
                          <w:rFonts w:ascii="宋体" w:hAnsi="宋体" w:cs="宋体"/>
                          <w:u w:val="single"/>
                        </w:rPr>
                      </w:pPr>
                      <w:r>
                        <w:rPr>
                          <w:rFonts w:hint="eastAsia" w:ascii="宋体" w:hAnsi="宋体" w:cs="宋体"/>
                          <w:u w:val="single"/>
                        </w:rPr>
                        <w:t xml:space="preserve">                                                          </w:t>
                      </w:r>
                    </w:p>
                    <w:p>
                      <w:pPr>
                        <w:wordWrap w:val="0"/>
                        <w:spacing w:line="360" w:lineRule="auto"/>
                        <w:ind w:hanging="105"/>
                        <w:rPr>
                          <w:rFonts w:ascii="宋体" w:hAnsi="宋体" w:cs="宋体"/>
                          <w:u w:val="single"/>
                        </w:rPr>
                      </w:pPr>
                    </w:p>
                    <w:p>
                      <w:pPr>
                        <w:wordWrap w:val="0"/>
                        <w:spacing w:line="360" w:lineRule="auto"/>
                        <w:ind w:firstLine="480" w:firstLineChars="200"/>
                        <w:rPr>
                          <w:rFonts w:ascii="宋体" w:hAnsi="宋体" w:cs="宋体"/>
                          <w:u w:val="single"/>
                        </w:rPr>
                      </w:pPr>
                      <w:r>
                        <w:rPr>
                          <w:rFonts w:hint="eastAsia" w:ascii="宋体" w:hAnsi="宋体" w:cs="宋体"/>
                        </w:rPr>
                        <w:t>授权企业名称：</w:t>
                      </w:r>
                      <w:r>
                        <w:rPr>
                          <w:rFonts w:hint="eastAsia" w:ascii="宋体" w:hAnsi="宋体" w:cs="宋体"/>
                          <w:u w:val="single"/>
                        </w:rPr>
                        <w:t xml:space="preserve">                  </w:t>
                      </w:r>
                      <w:r>
                        <w:rPr>
                          <w:rFonts w:hint="eastAsia" w:ascii="宋体" w:hAnsi="宋体" w:cs="宋体"/>
                        </w:rPr>
                        <w:t>（公章）</w:t>
                      </w:r>
                    </w:p>
                    <w:p>
                      <w:pPr>
                        <w:wordWrap w:val="0"/>
                        <w:spacing w:line="360" w:lineRule="auto"/>
                        <w:ind w:firstLine="480" w:firstLineChars="200"/>
                        <w:rPr>
                          <w:rFonts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wordWrap w:val="0"/>
                        <w:spacing w:after="100" w:afterAutospacing="1" w:line="480" w:lineRule="atLeast"/>
                        <w:jc w:val="right"/>
                        <w:rPr>
                          <w:rFonts w:ascii="宋体" w:hAnsi="宋体" w:cs="宋体"/>
                        </w:rPr>
                      </w:pPr>
                      <w:r>
                        <w:rPr>
                          <w:rFonts w:hint="eastAsia" w:ascii="宋体" w:hAnsi="宋体" w:cs="宋体"/>
                        </w:rPr>
                        <w:t xml:space="preserve">    年   月   日   </w:t>
                      </w:r>
                    </w:p>
                  </w:txbxContent>
                </v:textbox>
                <w10:wrap type="tight"/>
              </v:shape>
            </w:pict>
          </mc:Fallback>
        </mc:AlternateContent>
      </w:r>
      <w:r>
        <w:rPr>
          <w:rFonts w:hint="eastAsia" w:ascii="宋体" w:hAnsi="宋体" w:cs="宋体"/>
        </w:rPr>
        <w:t>注：法定代表人授权委托书也可以采用工商行政管理局统一印制的格式。</w:t>
      </w:r>
    </w:p>
    <w:p>
      <w:pPr>
        <w:pStyle w:val="4"/>
        <w:jc w:val="both"/>
        <w:rPr>
          <w:rFonts w:ascii="宋体" w:hAnsi="宋体"/>
        </w:rPr>
      </w:pPr>
      <w:r>
        <w:rPr>
          <w:rFonts w:hint="eastAsia" w:ascii="宋体" w:hAnsi="宋体" w:cs="宋体"/>
        </w:rPr>
        <w:br w:type="page"/>
      </w:r>
      <w:r>
        <w:rPr>
          <w:rFonts w:hint="eastAsia" w:ascii="宋体" w:hAnsi="宋体" w:cs="宋体"/>
          <w:bCs w:val="0"/>
          <w:sz w:val="24"/>
          <w:szCs w:val="24"/>
        </w:rPr>
        <w:t>格式3：</w:t>
      </w:r>
    </w:p>
    <w:p>
      <w:pPr>
        <w:ind w:firstLine="482"/>
        <w:rPr>
          <w:rFonts w:ascii="宋体" w:hAnsi="宋体"/>
          <w:b/>
        </w:rPr>
      </w:pPr>
    </w:p>
    <w:p>
      <w:pPr>
        <w:pStyle w:val="17"/>
        <w:ind w:firstLine="562"/>
        <w:jc w:val="center"/>
        <w:rPr>
          <w:rFonts w:hAnsi="宋体"/>
          <w:b/>
          <w:sz w:val="28"/>
          <w:szCs w:val="28"/>
        </w:rPr>
      </w:pPr>
      <w:r>
        <w:rPr>
          <w:rFonts w:hint="eastAsia" w:hAnsi="宋体"/>
          <w:b/>
          <w:sz w:val="28"/>
          <w:szCs w:val="28"/>
        </w:rPr>
        <w:t>申请人声明</w:t>
      </w:r>
      <w:r>
        <w:rPr>
          <w:rFonts w:hint="eastAsia" w:hAnsi="宋体"/>
          <w:b/>
          <w:sz w:val="28"/>
          <w:szCs w:val="28"/>
        </w:rPr>
        <w:cr/>
      </w:r>
    </w:p>
    <w:p>
      <w:pPr>
        <w:widowControl w:val="0"/>
        <w:wordWrap w:val="0"/>
        <w:spacing w:line="360" w:lineRule="auto"/>
        <w:ind w:firstLine="480" w:firstLineChars="200"/>
        <w:jc w:val="both"/>
        <w:rPr>
          <w:rFonts w:ascii="宋体" w:hAnsi="宋体" w:cs="宋体"/>
        </w:rPr>
      </w:pPr>
      <w:r>
        <w:rPr>
          <w:rFonts w:hint="eastAsia" w:ascii="宋体" w:hAnsi="宋体" w:cs="宋体"/>
        </w:rPr>
        <w:t>致：广州市国际工程咨询有限公司</w:t>
      </w:r>
    </w:p>
    <w:p>
      <w:pPr>
        <w:widowControl w:val="0"/>
        <w:wordWrap w:val="0"/>
        <w:spacing w:line="360" w:lineRule="auto"/>
        <w:ind w:firstLine="480" w:firstLineChars="200"/>
        <w:jc w:val="both"/>
        <w:rPr>
          <w:rFonts w:ascii="宋体" w:hAnsi="宋体" w:cs="宋体"/>
        </w:rPr>
      </w:pPr>
    </w:p>
    <w:p>
      <w:pPr>
        <w:widowControl w:val="0"/>
        <w:wordWrap w:val="0"/>
        <w:spacing w:line="360" w:lineRule="auto"/>
        <w:ind w:firstLine="480" w:firstLineChars="200"/>
        <w:jc w:val="both"/>
        <w:rPr>
          <w:rFonts w:ascii="宋体" w:hAnsi="宋体" w:cs="宋体"/>
        </w:rPr>
      </w:pPr>
      <w:r>
        <w:rPr>
          <w:rFonts w:hint="eastAsia" w:ascii="宋体" w:hAnsi="宋体" w:cs="宋体"/>
        </w:rPr>
        <w:t>为响应你方组织的</w:t>
      </w:r>
      <w:r>
        <w:rPr>
          <w:rFonts w:hint="eastAsia" w:ascii="宋体" w:hAnsi="宋体" w:cs="宋体"/>
          <w:u w:val="single"/>
        </w:rPr>
        <w:t xml:space="preserve">                     （项目名称）</w:t>
      </w:r>
      <w:r>
        <w:rPr>
          <w:rFonts w:hint="eastAsia" w:ascii="宋体" w:hAnsi="宋体" w:cs="宋体"/>
        </w:rPr>
        <w:t>采购项目，我方愿参与报价。</w:t>
      </w:r>
    </w:p>
    <w:p>
      <w:pPr>
        <w:widowControl w:val="0"/>
        <w:wordWrap w:val="0"/>
        <w:spacing w:line="360" w:lineRule="auto"/>
        <w:ind w:firstLine="480" w:firstLineChars="200"/>
        <w:jc w:val="both"/>
        <w:rPr>
          <w:rFonts w:ascii="宋体" w:hAnsi="宋体" w:cs="宋体"/>
        </w:rPr>
      </w:pPr>
      <w:r>
        <w:rPr>
          <w:rFonts w:hint="eastAsia" w:ascii="宋体" w:hAnsi="宋体" w:cs="宋体"/>
        </w:rPr>
        <w:t>我方作为</w:t>
      </w:r>
      <w:r>
        <w:rPr>
          <w:rFonts w:hint="eastAsia" w:ascii="宋体" w:hAnsi="宋体" w:cs="宋体"/>
          <w:u w:val="single"/>
        </w:rPr>
        <w:t xml:space="preserve">  （供应商）   </w:t>
      </w:r>
      <w:r>
        <w:rPr>
          <w:rFonts w:hint="eastAsia" w:ascii="宋体" w:hAnsi="宋体" w:cs="宋体"/>
        </w:rPr>
        <w:t>是在法律、财务和运作上独立于采购人、采购代理机构的供应商，提供“用户需求书”中全部的服务，提交所有文件和全部说明是真实的和正确的。</w:t>
      </w:r>
    </w:p>
    <w:p>
      <w:pPr>
        <w:widowControl w:val="0"/>
        <w:wordWrap w:val="0"/>
        <w:spacing w:line="360" w:lineRule="auto"/>
        <w:ind w:firstLine="480" w:firstLineChars="200"/>
        <w:jc w:val="both"/>
        <w:rPr>
          <w:rFonts w:ascii="宋体" w:hAnsi="宋体" w:cs="宋体"/>
        </w:rPr>
      </w:pPr>
      <w:r>
        <w:rPr>
          <w:rFonts w:hint="eastAsia" w:ascii="宋体" w:hAnsi="宋体" w:cs="宋体"/>
        </w:rPr>
        <w:t>我方理解你方可能还要求提供更进一步的资格资料，并愿意应你方的要求提交。</w:t>
      </w:r>
    </w:p>
    <w:p>
      <w:pPr>
        <w:widowControl w:val="0"/>
        <w:wordWrap w:val="0"/>
        <w:spacing w:line="360" w:lineRule="auto"/>
        <w:ind w:firstLine="480" w:firstLineChars="200"/>
        <w:jc w:val="both"/>
        <w:rPr>
          <w:rFonts w:ascii="宋体" w:hAnsi="宋体" w:cs="宋体"/>
        </w:rPr>
      </w:pPr>
    </w:p>
    <w:p>
      <w:pPr>
        <w:widowControl w:val="0"/>
        <w:wordWrap w:val="0"/>
        <w:spacing w:line="360" w:lineRule="auto"/>
        <w:ind w:firstLine="480" w:firstLineChars="200"/>
        <w:jc w:val="both"/>
        <w:rPr>
          <w:rFonts w:ascii="宋体" w:hAnsi="宋体" w:cs="宋体"/>
        </w:rPr>
      </w:pPr>
    </w:p>
    <w:p>
      <w:pPr>
        <w:widowControl w:val="0"/>
        <w:wordWrap w:val="0"/>
        <w:spacing w:line="360" w:lineRule="auto"/>
        <w:ind w:firstLine="480" w:firstLineChars="200"/>
        <w:jc w:val="both"/>
        <w:rPr>
          <w:rFonts w:ascii="宋体" w:hAnsi="宋体" w:cs="宋体"/>
        </w:rPr>
      </w:pPr>
      <w:r>
        <w:rPr>
          <w:rFonts w:hint="eastAsia" w:ascii="宋体" w:hAnsi="宋体" w:cs="宋体"/>
        </w:rPr>
        <w:t>供应商名称（盖公章）：</w:t>
      </w:r>
      <w:r>
        <w:rPr>
          <w:rFonts w:hint="eastAsia" w:ascii="宋体" w:hAnsi="宋体" w:cs="宋体"/>
          <w:u w:val="single"/>
        </w:rPr>
        <w:t xml:space="preserve">                      </w:t>
      </w:r>
      <w:r>
        <w:rPr>
          <w:rFonts w:hint="eastAsia" w:ascii="宋体" w:hAnsi="宋体" w:cs="宋体"/>
        </w:rPr>
        <w:t>.</w:t>
      </w:r>
    </w:p>
    <w:p>
      <w:pPr>
        <w:widowControl w:val="0"/>
        <w:wordWrap w:val="0"/>
        <w:spacing w:line="360" w:lineRule="auto"/>
        <w:ind w:firstLine="480" w:firstLineChars="200"/>
        <w:jc w:val="both"/>
        <w:rPr>
          <w:rFonts w:ascii="宋体" w:hAnsi="宋体" w:cs="宋体"/>
        </w:rPr>
      </w:pPr>
      <w:r>
        <w:rPr>
          <w:rFonts w:hint="eastAsia" w:ascii="宋体" w:hAnsi="宋体" w:cs="宋体"/>
        </w:rPr>
        <w:t>法 定 地 址：</w:t>
      </w:r>
      <w:r>
        <w:rPr>
          <w:rFonts w:hint="eastAsia" w:ascii="宋体" w:hAnsi="宋体" w:cs="宋体"/>
          <w:u w:val="single"/>
        </w:rPr>
        <w:t xml:space="preserve">                     </w:t>
      </w:r>
      <w:r>
        <w:rPr>
          <w:rFonts w:hint="eastAsia" w:ascii="宋体" w:hAnsi="宋体" w:cs="宋体"/>
        </w:rPr>
        <w:t xml:space="preserve"> .</w:t>
      </w:r>
    </w:p>
    <w:p>
      <w:pPr>
        <w:widowControl w:val="0"/>
        <w:wordWrap w:val="0"/>
        <w:spacing w:line="360" w:lineRule="auto"/>
        <w:ind w:firstLine="480" w:firstLineChars="200"/>
        <w:jc w:val="both"/>
        <w:rPr>
          <w:rFonts w:ascii="宋体" w:hAnsi="宋体" w:cs="宋体"/>
        </w:rPr>
      </w:pPr>
      <w:r>
        <w:rPr>
          <w:rFonts w:hint="eastAsia" w:ascii="宋体" w:hAnsi="宋体" w:cs="宋体"/>
        </w:rPr>
        <w:t>邮       编：</w:t>
      </w:r>
      <w:r>
        <w:rPr>
          <w:rFonts w:hint="eastAsia" w:ascii="宋体" w:hAnsi="宋体" w:cs="宋体"/>
          <w:u w:val="single"/>
        </w:rPr>
        <w:t xml:space="preserve">                      </w:t>
      </w:r>
      <w:r>
        <w:rPr>
          <w:rFonts w:hint="eastAsia" w:ascii="宋体" w:hAnsi="宋体" w:cs="宋体"/>
        </w:rPr>
        <w:t>.</w:t>
      </w:r>
    </w:p>
    <w:p>
      <w:pPr>
        <w:widowControl w:val="0"/>
        <w:wordWrap w:val="0"/>
        <w:spacing w:line="360" w:lineRule="auto"/>
        <w:ind w:firstLine="480" w:firstLineChars="200"/>
        <w:jc w:val="both"/>
        <w:rPr>
          <w:rFonts w:ascii="宋体" w:hAnsi="宋体" w:cs="宋体"/>
        </w:rPr>
      </w:pPr>
    </w:p>
    <w:p>
      <w:pPr>
        <w:widowControl w:val="0"/>
        <w:wordWrap w:val="0"/>
        <w:spacing w:line="360" w:lineRule="auto"/>
        <w:ind w:firstLine="480" w:firstLineChars="200"/>
        <w:jc w:val="both"/>
        <w:rPr>
          <w:rFonts w:ascii="宋体" w:hAnsi="宋体" w:cs="宋体"/>
        </w:rPr>
      </w:pPr>
    </w:p>
    <w:p>
      <w:pPr>
        <w:widowControl w:val="0"/>
        <w:wordWrap w:val="0"/>
        <w:spacing w:line="360" w:lineRule="auto"/>
        <w:ind w:firstLine="480" w:firstLineChars="200"/>
        <w:jc w:val="both"/>
        <w:rPr>
          <w:rFonts w:ascii="宋体" w:hAnsi="宋体" w:cs="宋体"/>
          <w:u w:val="single"/>
        </w:rPr>
      </w:pPr>
      <w:r>
        <w:rPr>
          <w:rFonts w:hint="eastAsia" w:ascii="宋体" w:hAnsi="宋体" w:cs="宋体"/>
        </w:rPr>
        <w:t>法定代表人或授权代表（签字或签章）：</w:t>
      </w:r>
      <w:r>
        <w:rPr>
          <w:rFonts w:hint="eastAsia" w:ascii="宋体" w:hAnsi="宋体" w:cs="宋体"/>
          <w:u w:val="single"/>
        </w:rPr>
        <w:t xml:space="preserve">                      </w:t>
      </w:r>
      <w:r>
        <w:rPr>
          <w:rFonts w:hint="eastAsia" w:ascii="宋体" w:hAnsi="宋体" w:cs="宋体"/>
        </w:rPr>
        <w:t>.</w:t>
      </w:r>
    </w:p>
    <w:p>
      <w:pPr>
        <w:widowControl w:val="0"/>
        <w:wordWrap w:val="0"/>
        <w:spacing w:line="360" w:lineRule="auto"/>
        <w:ind w:firstLine="480" w:firstLineChars="200"/>
        <w:jc w:val="both"/>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w:t>
      </w:r>
    </w:p>
    <w:p>
      <w:pPr>
        <w:widowControl w:val="0"/>
        <w:wordWrap w:val="0"/>
        <w:spacing w:line="360" w:lineRule="auto"/>
        <w:ind w:firstLine="480" w:firstLineChars="200"/>
        <w:jc w:val="both"/>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w:t>
      </w:r>
    </w:p>
    <w:p>
      <w:pPr>
        <w:widowControl w:val="0"/>
        <w:wordWrap w:val="0"/>
        <w:spacing w:line="360" w:lineRule="auto"/>
        <w:ind w:firstLine="480" w:firstLineChars="200"/>
        <w:jc w:val="both"/>
        <w:rPr>
          <w:rFonts w:ascii="宋体" w:hAnsi="宋体" w:cs="宋体"/>
        </w:rPr>
      </w:pPr>
      <w:r>
        <w:rPr>
          <w:rFonts w:hint="eastAsia" w:ascii="宋体" w:hAnsi="宋体" w:cs="宋体"/>
        </w:rPr>
        <w:br w:type="page"/>
      </w:r>
    </w:p>
    <w:p>
      <w:pPr>
        <w:widowControl w:val="0"/>
        <w:wordWrap w:val="0"/>
        <w:spacing w:before="120" w:beforeLines="50" w:line="360" w:lineRule="auto"/>
        <w:rPr>
          <w:rFonts w:ascii="宋体" w:hAnsi="宋体" w:cs="宋体"/>
          <w:b/>
        </w:rPr>
      </w:pPr>
      <w:r>
        <w:rPr>
          <w:rFonts w:hint="eastAsia" w:ascii="宋体" w:hAnsi="宋体" w:cs="宋体"/>
          <w:b/>
        </w:rPr>
        <w:t>格式</w:t>
      </w:r>
      <w:bookmarkEnd w:id="64"/>
      <w:r>
        <w:rPr>
          <w:rFonts w:hint="eastAsia" w:ascii="宋体" w:hAnsi="宋体" w:cs="宋体"/>
          <w:b/>
        </w:rPr>
        <w:t xml:space="preserve">4: </w:t>
      </w:r>
    </w:p>
    <w:p>
      <w:pPr>
        <w:widowControl w:val="0"/>
        <w:wordWrap w:val="0"/>
        <w:spacing w:line="276" w:lineRule="auto"/>
        <w:jc w:val="center"/>
        <w:rPr>
          <w:rFonts w:ascii="宋体" w:hAnsi="宋体" w:cs="宋体"/>
          <w:b/>
          <w:sz w:val="36"/>
          <w:szCs w:val="36"/>
        </w:rPr>
      </w:pPr>
      <w:r>
        <w:rPr>
          <w:rFonts w:hint="eastAsia" w:ascii="宋体" w:hAnsi="宋体" w:cs="宋体"/>
          <w:b/>
          <w:sz w:val="36"/>
          <w:szCs w:val="36"/>
        </w:rPr>
        <w:t>报价函</w:t>
      </w:r>
    </w:p>
    <w:p>
      <w:pPr>
        <w:widowControl w:val="0"/>
        <w:wordWrap w:val="0"/>
        <w:spacing w:line="360" w:lineRule="auto"/>
        <w:rPr>
          <w:rFonts w:ascii="宋体" w:hAnsi="宋体" w:cs="宋体"/>
        </w:rPr>
      </w:pPr>
      <w:r>
        <w:rPr>
          <w:rFonts w:hint="eastAsia" w:ascii="宋体" w:hAnsi="宋体" w:cs="宋体"/>
        </w:rPr>
        <w:t>致：广州国有资产管理集团有限公司</w:t>
      </w:r>
    </w:p>
    <w:p>
      <w:pPr>
        <w:widowControl w:val="0"/>
        <w:wordWrap w:val="0"/>
        <w:spacing w:line="360" w:lineRule="auto"/>
        <w:ind w:firstLine="480" w:firstLineChars="200"/>
        <w:rPr>
          <w:rFonts w:ascii="宋体" w:hAnsi="宋体" w:cs="宋体"/>
        </w:rPr>
      </w:pPr>
      <w:r>
        <w:rPr>
          <w:rFonts w:hint="eastAsia" w:ascii="宋体" w:hAnsi="宋体" w:cs="宋体"/>
        </w:rPr>
        <w:t>根据贵司</w:t>
      </w:r>
      <w:r>
        <w:rPr>
          <w:rFonts w:hint="eastAsia" w:ascii="宋体" w:hAnsi="宋体" w:cs="宋体"/>
          <w:u w:val="single"/>
        </w:rPr>
        <w:t xml:space="preserve">     </w:t>
      </w:r>
      <w:r>
        <w:rPr>
          <w:rFonts w:hint="eastAsia" w:ascii="宋体" w:hAnsi="宋体" w:cs="宋体"/>
          <w:szCs w:val="21"/>
          <w:u w:val="single"/>
        </w:rPr>
        <w:t xml:space="preserve">    </w:t>
      </w:r>
      <w:r>
        <w:rPr>
          <w:rFonts w:hint="eastAsia" w:ascii="宋体" w:hAnsi="宋体" w:cs="宋体"/>
        </w:rPr>
        <w:t>的采购文件要求，我司经认真研究并综合考虑相关情况和资料数据后，签字代表在此声明并同意：</w:t>
      </w:r>
    </w:p>
    <w:p>
      <w:pPr>
        <w:widowControl w:val="0"/>
        <w:wordWrap w:val="0"/>
        <w:spacing w:line="360" w:lineRule="auto"/>
        <w:ind w:firstLine="480" w:firstLineChars="200"/>
        <w:rPr>
          <w:rFonts w:ascii="宋体" w:hAnsi="宋体" w:cs="宋体"/>
        </w:rPr>
      </w:pPr>
      <w:r>
        <w:rPr>
          <w:rFonts w:hint="eastAsia" w:ascii="宋体" w:hAnsi="宋体" w:cs="宋体"/>
        </w:rPr>
        <w:t>1、经踏勘项目现场和研究上述采购文件、相关采购资料及其他有关文件后，我司愿按我司报价为人民币</w:t>
      </w:r>
      <w:r>
        <w:rPr>
          <w:rFonts w:hint="eastAsia" w:ascii="宋体" w:hAnsi="宋体" w:cs="宋体"/>
          <w:u w:val="single"/>
        </w:rPr>
        <w:t xml:space="preserve">         </w:t>
      </w:r>
      <w:r>
        <w:rPr>
          <w:rFonts w:hint="eastAsia" w:ascii="宋体" w:hAnsi="宋体" w:cs="宋体"/>
        </w:rPr>
        <w:t>元整（小写：¥</w:t>
      </w:r>
      <w:r>
        <w:rPr>
          <w:rFonts w:ascii="宋体" w:hAnsi="宋体" w:cs="宋体"/>
        </w:rPr>
        <w:t xml:space="preserve">     </w:t>
      </w:r>
      <w:r>
        <w:rPr>
          <w:rFonts w:hint="eastAsia" w:ascii="宋体" w:hAnsi="宋体" w:cs="宋体"/>
        </w:rPr>
        <w:t>）承接本项目。</w:t>
      </w:r>
    </w:p>
    <w:p>
      <w:pPr>
        <w:widowControl w:val="0"/>
        <w:wordWrap w:val="0"/>
        <w:spacing w:line="360" w:lineRule="auto"/>
        <w:ind w:firstLine="480" w:firstLineChars="200"/>
        <w:jc w:val="both"/>
        <w:rPr>
          <w:rFonts w:ascii="宋体" w:hAnsi="宋体" w:cs="宋体"/>
        </w:rPr>
      </w:pPr>
      <w:r>
        <w:rPr>
          <w:rFonts w:hint="eastAsia" w:ascii="宋体" w:hAnsi="宋体" w:cs="宋体"/>
        </w:rPr>
        <w:t>2、</w:t>
      </w:r>
      <w:r>
        <w:rPr>
          <w:rFonts w:hint="eastAsia" w:ascii="宋体" w:hAnsi="宋体" w:cs="宋体"/>
          <w:lang w:val="zh-CN"/>
        </w:rPr>
        <w:t>如果我司的报价被接受，我司保证能按贵司工期计划提供相关技术服务，承诺在进度计划内完成服务合同约定的全部工作内容并通过验收。</w:t>
      </w:r>
    </w:p>
    <w:p>
      <w:pPr>
        <w:widowControl w:val="0"/>
        <w:wordWrap w:val="0"/>
        <w:spacing w:line="360" w:lineRule="auto"/>
        <w:ind w:firstLine="480" w:firstLineChars="200"/>
        <w:jc w:val="both"/>
        <w:rPr>
          <w:rFonts w:ascii="宋体" w:hAnsi="宋体" w:cs="宋体"/>
          <w:lang w:val="zh-CN"/>
        </w:rPr>
      </w:pPr>
      <w:r>
        <w:rPr>
          <w:rFonts w:hint="eastAsia" w:ascii="宋体" w:hAnsi="宋体" w:cs="宋体"/>
        </w:rPr>
        <w:t>3、我司已详细审阅并无条件接受采购文件所附的服务合同，我司对此无异议。我司同意一旦中选，即于中选/成交通知书发放之日起</w:t>
      </w:r>
      <w:r>
        <w:rPr>
          <w:rFonts w:ascii="宋体" w:hAnsi="宋体" w:cs="宋体"/>
        </w:rPr>
        <w:t>10</w:t>
      </w:r>
      <w:r>
        <w:rPr>
          <w:rFonts w:hint="eastAsia" w:ascii="宋体" w:hAnsi="宋体" w:cs="宋体"/>
        </w:rPr>
        <w:t>个工作日内按此条件落实合同签署，</w:t>
      </w:r>
      <w:r>
        <w:rPr>
          <w:rFonts w:hint="eastAsia" w:ascii="宋体" w:hAnsi="宋体" w:cs="宋体"/>
          <w:lang w:val="zh-CN"/>
        </w:rPr>
        <w:t>否则可取消我司的中</w:t>
      </w:r>
      <w:r>
        <w:rPr>
          <w:rFonts w:hint="eastAsia" w:ascii="宋体" w:hAnsi="宋体" w:cs="宋体"/>
        </w:rPr>
        <w:t>选</w:t>
      </w:r>
      <w:r>
        <w:rPr>
          <w:rFonts w:hint="eastAsia" w:ascii="宋体" w:hAnsi="宋体" w:cs="宋体"/>
          <w:lang w:val="zh-CN"/>
        </w:rPr>
        <w:t>资格。</w:t>
      </w:r>
    </w:p>
    <w:p>
      <w:pPr>
        <w:widowControl w:val="0"/>
        <w:wordWrap w:val="0"/>
        <w:spacing w:line="360" w:lineRule="auto"/>
        <w:ind w:firstLine="480" w:firstLineChars="200"/>
        <w:jc w:val="both"/>
        <w:rPr>
          <w:rFonts w:ascii="宋体" w:hAnsi="宋体" w:cs="宋体"/>
        </w:rPr>
      </w:pPr>
      <w:r>
        <w:rPr>
          <w:rFonts w:hint="eastAsia" w:ascii="宋体" w:hAnsi="宋体" w:cs="宋体"/>
        </w:rPr>
        <w:t>4、我司同意本报价自响应文件递交截止日起90天内有效，在此期间，我司所有的响应文件均保持有效。如果我司的报价被接受，我司承诺响应文件有效期将顺延至服务合同结束。</w:t>
      </w:r>
    </w:p>
    <w:p>
      <w:pPr>
        <w:widowControl w:val="0"/>
        <w:wordWrap w:val="0"/>
        <w:spacing w:line="360" w:lineRule="auto"/>
        <w:ind w:firstLine="480" w:firstLineChars="200"/>
        <w:jc w:val="both"/>
        <w:rPr>
          <w:rFonts w:ascii="宋体" w:hAnsi="宋体" w:cs="宋体"/>
        </w:rPr>
      </w:pPr>
      <w:r>
        <w:rPr>
          <w:rFonts w:hint="eastAsia" w:ascii="宋体" w:hAnsi="宋体" w:cs="宋体"/>
        </w:rPr>
        <w:t>5、我司已经详细地阅读了全部采购文件及附件，包括澄清、补充及参考文件（如果有的话），我司完全理解并同意放弃对这方面有不明及误解的权利。</w:t>
      </w:r>
    </w:p>
    <w:p>
      <w:pPr>
        <w:widowControl w:val="0"/>
        <w:wordWrap w:val="0"/>
        <w:spacing w:line="360" w:lineRule="auto"/>
        <w:ind w:firstLine="480" w:firstLineChars="200"/>
        <w:jc w:val="both"/>
        <w:rPr>
          <w:rFonts w:ascii="宋体" w:hAnsi="宋体" w:cs="宋体"/>
          <w:lang w:val="zh-CN"/>
        </w:rPr>
      </w:pPr>
      <w:r>
        <w:rPr>
          <w:rFonts w:hint="eastAsia" w:ascii="宋体" w:hAnsi="宋体" w:cs="宋体"/>
        </w:rPr>
        <w:t>6、我司理解评委会及采购代理机构并无义务必须接受最低报价的响应文件或</w:t>
      </w:r>
      <w:r>
        <w:rPr>
          <w:rFonts w:hint="eastAsia" w:ascii="宋体" w:hAnsi="宋体" w:cs="宋体"/>
          <w:lang w:val="zh-CN"/>
        </w:rPr>
        <w:t>贵司可能收到的任何报价书的约束。</w:t>
      </w:r>
    </w:p>
    <w:p>
      <w:pPr>
        <w:widowControl w:val="0"/>
        <w:wordWrap w:val="0"/>
        <w:spacing w:line="360" w:lineRule="auto"/>
        <w:ind w:firstLine="480" w:firstLineChars="200"/>
        <w:jc w:val="both"/>
        <w:rPr>
          <w:rFonts w:ascii="宋体" w:hAnsi="宋体" w:cs="宋体"/>
        </w:rPr>
      </w:pPr>
      <w:r>
        <w:rPr>
          <w:rFonts w:hint="eastAsia" w:ascii="宋体" w:hAnsi="宋体" w:cs="宋体"/>
          <w:lang w:val="zh-CN"/>
        </w:rPr>
        <w:t>7、</w:t>
      </w:r>
      <w:r>
        <w:rPr>
          <w:rFonts w:hint="eastAsia" w:ascii="宋体" w:hAnsi="宋体" w:cs="宋体"/>
        </w:rPr>
        <w:t>我司如果中选，我司将完全满足采购文件及相关采购资料要求，保证履行响应文件中承诺的全部责任和义务。</w:t>
      </w:r>
    </w:p>
    <w:p>
      <w:pPr>
        <w:widowControl w:val="0"/>
        <w:wordWrap w:val="0"/>
        <w:spacing w:line="360" w:lineRule="auto"/>
        <w:ind w:firstLine="3542" w:firstLineChars="1476"/>
        <w:rPr>
          <w:rFonts w:ascii="宋体" w:hAnsi="宋体" w:cs="宋体"/>
          <w:bCs/>
        </w:rPr>
      </w:pPr>
    </w:p>
    <w:p>
      <w:pPr>
        <w:widowControl w:val="0"/>
        <w:wordWrap w:val="0"/>
        <w:spacing w:line="360" w:lineRule="auto"/>
        <w:ind w:firstLine="3400" w:firstLineChars="1417"/>
        <w:rPr>
          <w:rFonts w:ascii="宋体" w:hAnsi="宋体" w:cs="宋体"/>
          <w:bCs/>
        </w:rPr>
      </w:pPr>
      <w:r>
        <w:rPr>
          <w:rFonts w:hint="eastAsia" w:ascii="宋体" w:hAnsi="宋体" w:cs="宋体"/>
          <w:bCs/>
        </w:rPr>
        <w:t>供应商名称：</w:t>
      </w:r>
      <w:r>
        <w:rPr>
          <w:rFonts w:hint="eastAsia" w:ascii="宋体" w:hAnsi="宋体" w:cs="宋体"/>
          <w:u w:val="single"/>
        </w:rPr>
        <w:t xml:space="preserve">                        </w:t>
      </w:r>
      <w:r>
        <w:rPr>
          <w:rFonts w:hint="eastAsia" w:ascii="宋体" w:hAnsi="宋体" w:cs="宋体"/>
          <w:bCs/>
        </w:rPr>
        <w:t>（盖公章）</w:t>
      </w:r>
    </w:p>
    <w:p>
      <w:pPr>
        <w:widowControl w:val="0"/>
        <w:wordWrap w:val="0"/>
        <w:spacing w:line="360" w:lineRule="auto"/>
        <w:ind w:firstLine="3400" w:firstLineChars="1417"/>
        <w:rPr>
          <w:rFonts w:ascii="宋体" w:hAnsi="宋体" w:cs="宋体"/>
        </w:rPr>
      </w:pPr>
      <w:r>
        <w:rPr>
          <w:rFonts w:hint="eastAsia" w:ascii="宋体" w:hAnsi="宋体" w:cs="宋体"/>
        </w:rPr>
        <w:t>法定代表人或授权代表（签字或签章）：</w:t>
      </w:r>
      <w:r>
        <w:rPr>
          <w:rFonts w:hint="eastAsia" w:ascii="宋体" w:hAnsi="宋体" w:cs="宋体"/>
          <w:u w:val="single"/>
        </w:rPr>
        <w:t xml:space="preserve">      </w:t>
      </w:r>
    </w:p>
    <w:p>
      <w:pPr>
        <w:widowControl w:val="0"/>
        <w:wordWrap w:val="0"/>
        <w:spacing w:line="360" w:lineRule="auto"/>
        <w:ind w:firstLine="3400" w:firstLineChars="1417"/>
        <w:rPr>
          <w:rFonts w:ascii="宋体" w:hAnsi="宋体" w:cs="宋体"/>
        </w:rPr>
      </w:pPr>
      <w:r>
        <w:rPr>
          <w:rFonts w:hint="eastAsia" w:ascii="宋体" w:hAnsi="宋体" w:cs="宋体"/>
        </w:rPr>
        <w:t>电      话：</w:t>
      </w:r>
    </w:p>
    <w:p>
      <w:pPr>
        <w:widowControl w:val="0"/>
        <w:wordWrap w:val="0"/>
        <w:spacing w:line="360" w:lineRule="auto"/>
        <w:ind w:firstLine="3400" w:firstLineChars="1417"/>
        <w:rPr>
          <w:rFonts w:ascii="宋体" w:hAnsi="宋体" w:cs="宋体"/>
        </w:rPr>
      </w:pPr>
      <w:r>
        <w:rPr>
          <w:rFonts w:hint="eastAsia" w:ascii="宋体" w:hAnsi="宋体" w:cs="宋体"/>
        </w:rPr>
        <w:t>日      期：</w:t>
      </w:r>
    </w:p>
    <w:p>
      <w:pPr>
        <w:widowControl w:val="0"/>
        <w:wordWrap w:val="0"/>
        <w:spacing w:before="120" w:beforeLines="50" w:line="360" w:lineRule="auto"/>
        <w:rPr>
          <w:rFonts w:ascii="宋体" w:hAnsi="宋体" w:cs="宋体"/>
          <w:b/>
        </w:rPr>
      </w:pPr>
      <w:r>
        <w:rPr>
          <w:rFonts w:hint="eastAsia" w:ascii="宋体" w:hAnsi="宋体" w:cs="宋体"/>
          <w:sz w:val="21"/>
          <w:szCs w:val="21"/>
        </w:rPr>
        <w:br w:type="page"/>
      </w:r>
      <w:bookmarkStart w:id="67" w:name="_Toc51933490"/>
      <w:r>
        <w:rPr>
          <w:rFonts w:hint="eastAsia" w:ascii="宋体" w:hAnsi="宋体" w:cs="宋体"/>
          <w:b/>
        </w:rPr>
        <w:t>格式</w:t>
      </w:r>
      <w:bookmarkEnd w:id="67"/>
      <w:r>
        <w:rPr>
          <w:rFonts w:hint="eastAsia" w:ascii="宋体" w:hAnsi="宋体" w:cs="宋体"/>
          <w:b/>
        </w:rPr>
        <w:t xml:space="preserve">5: </w:t>
      </w:r>
    </w:p>
    <w:p>
      <w:pPr>
        <w:spacing w:line="360" w:lineRule="auto"/>
        <w:jc w:val="center"/>
        <w:rPr>
          <w:rFonts w:ascii="宋体" w:hAnsi="宋体" w:cs="宋体"/>
          <w:b/>
          <w:sz w:val="28"/>
          <w:szCs w:val="28"/>
        </w:rPr>
      </w:pPr>
      <w:r>
        <w:rPr>
          <w:rFonts w:hint="eastAsia" w:ascii="宋体" w:hAnsi="宋体" w:cs="宋体"/>
          <w:b/>
          <w:sz w:val="28"/>
          <w:szCs w:val="28"/>
        </w:rPr>
        <w:t>相关经验列表（格式自拟）</w:t>
      </w:r>
    </w:p>
    <w:p>
      <w:pPr>
        <w:spacing w:line="360" w:lineRule="auto"/>
        <w:ind w:left="456" w:leftChars="190"/>
        <w:rPr>
          <w:rFonts w:ascii="宋体" w:hAnsi="宋体" w:cs="宋体"/>
        </w:rPr>
      </w:pPr>
      <w:bookmarkStart w:id="68" w:name="_Hlt10548694"/>
    </w:p>
    <w:p>
      <w:pPr>
        <w:spacing w:line="360" w:lineRule="auto"/>
        <w:ind w:left="456" w:leftChars="190"/>
        <w:rPr>
          <w:rFonts w:ascii="宋体" w:hAnsi="宋体" w:cs="宋体"/>
        </w:rPr>
      </w:pPr>
      <w:r>
        <w:rPr>
          <w:rFonts w:hint="eastAsia" w:ascii="宋体" w:hAnsi="宋体" w:cs="宋体"/>
        </w:rPr>
        <w:t>注：供应商需提供合同复印件或</w:t>
      </w:r>
      <w:r>
        <w:rPr>
          <w:rFonts w:hint="eastAsia" w:ascii="宋体" w:hAnsi="宋体" w:cs="宋体"/>
          <w:spacing w:val="-6"/>
        </w:rPr>
        <w:t>活动执行证明材料</w:t>
      </w:r>
      <w:r>
        <w:rPr>
          <w:rFonts w:hint="eastAsia" w:ascii="宋体" w:hAnsi="宋体" w:cs="宋体"/>
        </w:rPr>
        <w:t>加盖公章，未按要求提供不得分。</w:t>
      </w:r>
      <w:bookmarkEnd w:id="68"/>
    </w:p>
    <w:p>
      <w:pPr>
        <w:widowControl w:val="0"/>
        <w:wordWrap w:val="0"/>
        <w:spacing w:line="276" w:lineRule="auto"/>
        <w:jc w:val="center"/>
        <w:rPr>
          <w:rFonts w:ascii="宋体" w:hAnsi="宋体" w:cs="宋体"/>
          <w:b/>
          <w:sz w:val="32"/>
          <w:szCs w:val="32"/>
        </w:rPr>
      </w:pPr>
    </w:p>
    <w:p>
      <w:pPr>
        <w:widowControl w:val="0"/>
        <w:wordWrap w:val="0"/>
        <w:spacing w:before="120" w:beforeLines="50" w:line="360" w:lineRule="auto"/>
        <w:rPr>
          <w:rFonts w:ascii="宋体" w:hAnsi="宋体" w:cs="宋体"/>
          <w:b/>
        </w:rPr>
      </w:pPr>
    </w:p>
    <w:p>
      <w:pPr>
        <w:widowControl w:val="0"/>
        <w:wordWrap w:val="0"/>
        <w:spacing w:line="360" w:lineRule="auto"/>
        <w:ind w:firstLine="2976" w:firstLineChars="1240"/>
        <w:rPr>
          <w:rFonts w:ascii="宋体" w:hAnsi="宋体" w:cs="宋体"/>
          <w:bCs/>
        </w:rPr>
      </w:pPr>
      <w:r>
        <w:rPr>
          <w:rFonts w:hint="eastAsia" w:ascii="宋体" w:hAnsi="宋体" w:cs="宋体"/>
          <w:bCs/>
        </w:rPr>
        <w:t>供应商名称：</w:t>
      </w:r>
      <w:r>
        <w:rPr>
          <w:rFonts w:hint="eastAsia" w:ascii="宋体" w:hAnsi="宋体" w:cs="宋体"/>
          <w:u w:val="single"/>
        </w:rPr>
        <w:t xml:space="preserve">                        </w:t>
      </w:r>
      <w:r>
        <w:rPr>
          <w:rFonts w:hint="eastAsia" w:ascii="宋体" w:hAnsi="宋体" w:cs="宋体"/>
          <w:bCs/>
        </w:rPr>
        <w:t>（盖公章）</w:t>
      </w:r>
    </w:p>
    <w:p>
      <w:pPr>
        <w:widowControl w:val="0"/>
        <w:wordWrap w:val="0"/>
        <w:spacing w:line="360" w:lineRule="auto"/>
        <w:ind w:firstLine="2976" w:firstLineChars="1240"/>
        <w:rPr>
          <w:rFonts w:ascii="宋体" w:hAnsi="宋体" w:cs="宋体"/>
        </w:rPr>
      </w:pPr>
      <w:r>
        <w:rPr>
          <w:rFonts w:hint="eastAsia" w:ascii="宋体" w:hAnsi="宋体" w:cs="宋体"/>
        </w:rPr>
        <w:t>法定代表人或授权代表（签字或签章）：</w:t>
      </w:r>
      <w:r>
        <w:rPr>
          <w:rFonts w:hint="eastAsia" w:ascii="宋体" w:hAnsi="宋体" w:cs="宋体"/>
          <w:u w:val="single"/>
        </w:rPr>
        <w:t xml:space="preserve">        </w:t>
      </w:r>
    </w:p>
    <w:p>
      <w:pPr>
        <w:widowControl w:val="0"/>
        <w:wordWrap w:val="0"/>
        <w:spacing w:line="360" w:lineRule="auto"/>
        <w:ind w:firstLine="2976" w:firstLineChars="1240"/>
        <w:rPr>
          <w:rFonts w:ascii="宋体" w:hAnsi="宋体" w:cs="宋体"/>
          <w:bCs/>
        </w:rPr>
      </w:pPr>
      <w:r>
        <w:rPr>
          <w:rFonts w:hint="eastAsia" w:ascii="宋体" w:hAnsi="宋体" w:cs="宋体"/>
          <w:bCs/>
        </w:rPr>
        <w:t>日     期：</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p>
    <w:p>
      <w:pPr>
        <w:widowControl w:val="0"/>
        <w:wordWrap w:val="0"/>
        <w:spacing w:before="120" w:beforeLines="50" w:line="360" w:lineRule="auto"/>
        <w:rPr>
          <w:rFonts w:ascii="宋体" w:hAnsi="宋体" w:cs="宋体"/>
          <w:b/>
        </w:rPr>
      </w:pPr>
      <w:r>
        <w:rPr>
          <w:rFonts w:hint="eastAsia" w:ascii="宋体" w:hAnsi="宋体" w:cs="宋体"/>
          <w:b/>
        </w:rPr>
        <w:br w:type="page"/>
      </w:r>
      <w:bookmarkStart w:id="69" w:name="_Toc51933491"/>
      <w:r>
        <w:rPr>
          <w:rFonts w:hint="eastAsia" w:ascii="宋体" w:hAnsi="宋体" w:cs="宋体"/>
          <w:b/>
        </w:rPr>
        <w:t>格式6：</w:t>
      </w:r>
    </w:p>
    <w:bookmarkEnd w:id="65"/>
    <w:bookmarkEnd w:id="69"/>
    <w:p>
      <w:pPr>
        <w:spacing w:line="360" w:lineRule="auto"/>
        <w:jc w:val="center"/>
        <w:rPr>
          <w:rFonts w:ascii="宋体" w:hAnsi="宋体" w:cs="宋体"/>
          <w:b/>
          <w:sz w:val="28"/>
          <w:szCs w:val="28"/>
        </w:rPr>
      </w:pPr>
      <w:bookmarkStart w:id="70" w:name="_Toc409530747"/>
      <w:r>
        <w:rPr>
          <w:rFonts w:hint="eastAsia" w:ascii="宋体" w:hAnsi="宋体" w:cs="宋体"/>
          <w:b/>
          <w:sz w:val="28"/>
          <w:szCs w:val="28"/>
        </w:rPr>
        <w:t>拟投入团队人员汇总表</w:t>
      </w:r>
    </w:p>
    <w:tbl>
      <w:tblPr>
        <w:tblStyle w:val="33"/>
        <w:tblW w:w="0" w:type="auto"/>
        <w:jc w:val="center"/>
        <w:tblLayout w:type="fixed"/>
        <w:tblCellMar>
          <w:top w:w="0" w:type="dxa"/>
          <w:left w:w="108" w:type="dxa"/>
          <w:bottom w:w="0" w:type="dxa"/>
          <w:right w:w="108" w:type="dxa"/>
        </w:tblCellMar>
      </w:tblPr>
      <w:tblGrid>
        <w:gridCol w:w="1339"/>
        <w:gridCol w:w="1260"/>
        <w:gridCol w:w="1650"/>
        <w:gridCol w:w="1215"/>
        <w:gridCol w:w="1170"/>
        <w:gridCol w:w="2018"/>
      </w:tblGrid>
      <w:tr>
        <w:tblPrEx>
          <w:tblCellMar>
            <w:top w:w="0" w:type="dxa"/>
            <w:left w:w="108" w:type="dxa"/>
            <w:bottom w:w="0" w:type="dxa"/>
            <w:right w:w="108" w:type="dxa"/>
          </w:tblCellMar>
        </w:tblPrEx>
        <w:trPr>
          <w:trHeight w:val="912"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序号</w:t>
            </w:r>
          </w:p>
        </w:tc>
        <w:tc>
          <w:tcPr>
            <w:tcW w:w="126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姓名</w:t>
            </w:r>
          </w:p>
        </w:tc>
        <w:tc>
          <w:tcPr>
            <w:tcW w:w="165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本项目任职</w:t>
            </w:r>
          </w:p>
        </w:tc>
        <w:tc>
          <w:tcPr>
            <w:tcW w:w="121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学历</w:t>
            </w:r>
          </w:p>
        </w:tc>
        <w:tc>
          <w:tcPr>
            <w:tcW w:w="117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专业</w:t>
            </w:r>
          </w:p>
        </w:tc>
        <w:tc>
          <w:tcPr>
            <w:tcW w:w="201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bookmarkStart w:id="71" w:name="_Toc520184756"/>
            <w:bookmarkEnd w:id="71"/>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r>
        <w:tblPrEx>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rPr>
            </w:pPr>
          </w:p>
        </w:tc>
        <w:tc>
          <w:tcPr>
            <w:tcW w:w="126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65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215"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1170"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c>
          <w:tcPr>
            <w:tcW w:w="2018" w:type="dxa"/>
            <w:tcBorders>
              <w:top w:val="single" w:color="auto" w:sz="4" w:space="0"/>
              <w:left w:val="nil"/>
              <w:bottom w:val="single" w:color="auto" w:sz="4" w:space="0"/>
              <w:right w:val="single" w:color="auto" w:sz="4" w:space="0"/>
            </w:tcBorders>
          </w:tcPr>
          <w:p>
            <w:pPr>
              <w:spacing w:line="360" w:lineRule="auto"/>
              <w:rPr>
                <w:rFonts w:ascii="宋体" w:hAnsi="宋体" w:cs="宋体"/>
              </w:rPr>
            </w:pPr>
          </w:p>
        </w:tc>
      </w:tr>
    </w:tbl>
    <w:p>
      <w:pPr>
        <w:adjustRightInd w:val="0"/>
        <w:spacing w:line="360" w:lineRule="auto"/>
        <w:ind w:firstLine="480" w:firstLineChars="200"/>
        <w:rPr>
          <w:rFonts w:ascii="宋体" w:hAnsi="宋体" w:cs="宋体"/>
        </w:rPr>
      </w:pPr>
      <w:r>
        <w:rPr>
          <w:rFonts w:hint="eastAsia" w:ascii="宋体" w:hAnsi="宋体" w:cs="宋体"/>
        </w:rPr>
        <w:t>备注：本表拟投入团队人员需提供自公告发布前三个月的社保证明文件复印件。未经采购人同意，中选后不得更换，否则按合同约定承担违约责任。</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bookmarkEnd w:id="70"/>
    <w:p>
      <w:pPr>
        <w:spacing w:line="360" w:lineRule="auto"/>
        <w:rPr>
          <w:rFonts w:ascii="宋体" w:hAnsi="宋体" w:cs="宋体"/>
          <w:b/>
        </w:rPr>
      </w:pPr>
    </w:p>
    <w:p>
      <w:pPr>
        <w:spacing w:line="360" w:lineRule="auto"/>
        <w:rPr>
          <w:rFonts w:ascii="宋体" w:hAnsi="宋体" w:cs="宋体"/>
          <w:b/>
        </w:rPr>
      </w:pPr>
      <w:r>
        <w:rPr>
          <w:rFonts w:hint="eastAsia" w:ascii="宋体" w:hAnsi="宋体" w:cs="宋体"/>
          <w:b/>
        </w:rPr>
        <w:t>格式7：</w:t>
      </w:r>
    </w:p>
    <w:p>
      <w:pPr>
        <w:spacing w:line="360" w:lineRule="auto"/>
        <w:jc w:val="center"/>
        <w:rPr>
          <w:rFonts w:ascii="宋体" w:hAnsi="宋体" w:cs="宋体"/>
          <w:b/>
          <w:sz w:val="28"/>
          <w:szCs w:val="28"/>
        </w:rPr>
      </w:pPr>
      <w:r>
        <w:rPr>
          <w:rFonts w:hint="eastAsia" w:ascii="宋体" w:hAnsi="宋体" w:cs="宋体"/>
          <w:b/>
          <w:sz w:val="28"/>
          <w:szCs w:val="28"/>
        </w:rPr>
        <w:t>响应报价书</w:t>
      </w:r>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lang w:val="zh-CN"/>
              </w:rPr>
            </w:pPr>
            <w:r>
              <w:rPr>
                <w:rFonts w:hint="eastAsia" w:ascii="宋体" w:hAnsi="宋体" w:cs="宋体"/>
                <w:b/>
                <w:lang w:val="zh-CN"/>
              </w:rPr>
              <w:t>项</w:t>
            </w:r>
            <w:r>
              <w:rPr>
                <w:rFonts w:hint="eastAsia" w:ascii="宋体" w:hAnsi="宋体" w:cs="宋体"/>
                <w:b/>
              </w:rPr>
              <w:t xml:space="preserve"> </w:t>
            </w:r>
            <w:r>
              <w:rPr>
                <w:rFonts w:hint="eastAsia" w:ascii="宋体" w:hAnsi="宋体" w:cs="宋体"/>
                <w:b/>
                <w:lang w:val="zh-CN"/>
              </w:rPr>
              <w:t>目 名 称</w:t>
            </w:r>
          </w:p>
        </w:tc>
        <w:tc>
          <w:tcPr>
            <w:tcW w:w="6265"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宋体"/>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lang w:val="zh-CN"/>
              </w:rPr>
            </w:pPr>
            <w:r>
              <w:rPr>
                <w:rFonts w:hint="eastAsia" w:ascii="宋体" w:hAnsi="宋体" w:cs="宋体"/>
                <w:b/>
                <w:lang w:val="zh-CN"/>
              </w:rPr>
              <w:t>总报价（</w:t>
            </w:r>
            <w:r>
              <w:rPr>
                <w:rFonts w:hint="eastAsia" w:ascii="宋体" w:hAnsi="宋体" w:cs="宋体"/>
                <w:b/>
              </w:rPr>
              <w:t>含税</w:t>
            </w:r>
            <w:r>
              <w:rPr>
                <w:rFonts w:hint="eastAsia" w:ascii="宋体" w:hAnsi="宋体" w:cs="宋体"/>
                <w:b/>
                <w:lang w:val="zh-CN"/>
              </w:rPr>
              <w:t>）（元）</w:t>
            </w:r>
          </w:p>
        </w:tc>
        <w:tc>
          <w:tcPr>
            <w:tcW w:w="62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lang w:val="zh-CN"/>
              </w:rPr>
            </w:pPr>
          </w:p>
        </w:tc>
      </w:tr>
    </w:tbl>
    <w:p>
      <w:pPr>
        <w:spacing w:line="360" w:lineRule="auto"/>
        <w:ind w:firstLine="465"/>
        <w:rPr>
          <w:rFonts w:ascii="宋体" w:hAnsi="宋体" w:cs="宋体"/>
        </w:rPr>
      </w:pPr>
    </w:p>
    <w:p>
      <w:pPr>
        <w:spacing w:line="360" w:lineRule="auto"/>
        <w:ind w:firstLine="465"/>
        <w:rPr>
          <w:rFonts w:ascii="宋体" w:hAnsi="宋体" w:cs="宋体"/>
        </w:rPr>
      </w:pPr>
    </w:p>
    <w:p>
      <w:pPr>
        <w:widowControl w:val="0"/>
        <w:wordWrap w:val="0"/>
        <w:spacing w:line="360" w:lineRule="auto"/>
        <w:ind w:firstLine="3400" w:firstLineChars="1417"/>
        <w:rPr>
          <w:rFonts w:ascii="宋体" w:hAnsi="宋体" w:cs="宋体"/>
          <w:bCs/>
        </w:rPr>
      </w:pPr>
      <w:r>
        <w:rPr>
          <w:rFonts w:hint="eastAsia" w:ascii="宋体" w:hAnsi="宋体" w:cs="宋体"/>
          <w:bCs/>
        </w:rPr>
        <w:t>供应商名称：</w:t>
      </w:r>
      <w:r>
        <w:rPr>
          <w:rFonts w:hint="eastAsia" w:ascii="宋体" w:hAnsi="宋体" w:cs="宋体"/>
          <w:u w:val="single"/>
        </w:rPr>
        <w:t xml:space="preserve">                        </w:t>
      </w:r>
      <w:r>
        <w:rPr>
          <w:rFonts w:hint="eastAsia" w:ascii="宋体" w:hAnsi="宋体" w:cs="宋体"/>
          <w:bCs/>
        </w:rPr>
        <w:t>（盖公章）</w:t>
      </w:r>
    </w:p>
    <w:p>
      <w:pPr>
        <w:widowControl w:val="0"/>
        <w:wordWrap w:val="0"/>
        <w:spacing w:line="360" w:lineRule="auto"/>
        <w:ind w:firstLine="3400" w:firstLineChars="1417"/>
        <w:rPr>
          <w:rFonts w:ascii="宋体" w:hAnsi="宋体" w:cs="宋体"/>
        </w:rPr>
      </w:pPr>
      <w:r>
        <w:rPr>
          <w:rFonts w:hint="eastAsia" w:ascii="宋体" w:hAnsi="宋体" w:cs="宋体"/>
        </w:rPr>
        <w:t>法定代表人或授权代表（签字或签章）：</w:t>
      </w:r>
      <w:r>
        <w:rPr>
          <w:rFonts w:hint="eastAsia" w:ascii="宋体" w:hAnsi="宋体" w:cs="宋体"/>
          <w:u w:val="single"/>
        </w:rPr>
        <w:t xml:space="preserve">      </w:t>
      </w:r>
    </w:p>
    <w:p>
      <w:pPr>
        <w:widowControl w:val="0"/>
        <w:wordWrap w:val="0"/>
        <w:spacing w:line="360" w:lineRule="auto"/>
        <w:ind w:firstLine="3400" w:firstLineChars="1417"/>
        <w:rPr>
          <w:rFonts w:ascii="宋体" w:hAnsi="宋体" w:cs="宋体"/>
        </w:rPr>
      </w:pPr>
      <w:r>
        <w:rPr>
          <w:rFonts w:hint="eastAsia" w:ascii="宋体" w:hAnsi="宋体" w:cs="宋体"/>
        </w:rPr>
        <w:t>电      话：</w:t>
      </w:r>
    </w:p>
    <w:p>
      <w:pPr>
        <w:widowControl w:val="0"/>
        <w:wordWrap w:val="0"/>
        <w:spacing w:line="360" w:lineRule="auto"/>
        <w:ind w:firstLine="3400" w:firstLineChars="1417"/>
        <w:rPr>
          <w:rFonts w:ascii="宋体" w:hAnsi="宋体" w:cs="宋体"/>
        </w:rPr>
      </w:pPr>
      <w:r>
        <w:rPr>
          <w:rFonts w:hint="eastAsia" w:ascii="宋体" w:hAnsi="宋体" w:cs="宋体"/>
        </w:rPr>
        <w:t>日      期：</w:t>
      </w:r>
    </w:p>
    <w:p/>
    <w:sectPr>
      <w:footerReference r:id="rId8" w:type="default"/>
      <w:pgSz w:w="11906" w:h="16838"/>
      <w:pgMar w:top="1247" w:right="1418" w:bottom="1247" w:left="141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N2MwZDZiMjc4YzJhYTEwNWU2Yjc1ZmM1YzQ3MTUifQ=="/>
    <w:docVar w:name="KSO_WPS_MARK_KEY" w:val="a46a4f2a-0e0f-430e-9686-9c71a81ea603"/>
  </w:docVars>
  <w:rsids>
    <w:rsidRoot w:val="00AA5644"/>
    <w:rsid w:val="00000CD0"/>
    <w:rsid w:val="00001BC7"/>
    <w:rsid w:val="00002C5F"/>
    <w:rsid w:val="00003B03"/>
    <w:rsid w:val="00003F0F"/>
    <w:rsid w:val="000045D9"/>
    <w:rsid w:val="000057F4"/>
    <w:rsid w:val="000063AD"/>
    <w:rsid w:val="00007001"/>
    <w:rsid w:val="00007C0A"/>
    <w:rsid w:val="00007C20"/>
    <w:rsid w:val="00007F6D"/>
    <w:rsid w:val="00010D60"/>
    <w:rsid w:val="00010FAE"/>
    <w:rsid w:val="000115DE"/>
    <w:rsid w:val="0001174E"/>
    <w:rsid w:val="00011A72"/>
    <w:rsid w:val="00011BDA"/>
    <w:rsid w:val="00012B72"/>
    <w:rsid w:val="00013705"/>
    <w:rsid w:val="00013D93"/>
    <w:rsid w:val="00013FD2"/>
    <w:rsid w:val="00014913"/>
    <w:rsid w:val="00014FB7"/>
    <w:rsid w:val="0001520A"/>
    <w:rsid w:val="00015C28"/>
    <w:rsid w:val="0001677A"/>
    <w:rsid w:val="000168B5"/>
    <w:rsid w:val="000169D0"/>
    <w:rsid w:val="00020614"/>
    <w:rsid w:val="00021116"/>
    <w:rsid w:val="00021AFF"/>
    <w:rsid w:val="000220EF"/>
    <w:rsid w:val="00022DC1"/>
    <w:rsid w:val="00024239"/>
    <w:rsid w:val="00024626"/>
    <w:rsid w:val="0002485A"/>
    <w:rsid w:val="00025CA0"/>
    <w:rsid w:val="00026DA4"/>
    <w:rsid w:val="00026EC8"/>
    <w:rsid w:val="00027C2E"/>
    <w:rsid w:val="00030DD1"/>
    <w:rsid w:val="00032945"/>
    <w:rsid w:val="00033048"/>
    <w:rsid w:val="000330AA"/>
    <w:rsid w:val="00033167"/>
    <w:rsid w:val="000335D6"/>
    <w:rsid w:val="00033678"/>
    <w:rsid w:val="00034843"/>
    <w:rsid w:val="00034E2D"/>
    <w:rsid w:val="00035FF8"/>
    <w:rsid w:val="000400B3"/>
    <w:rsid w:val="0004431D"/>
    <w:rsid w:val="00044B1F"/>
    <w:rsid w:val="00044FAE"/>
    <w:rsid w:val="00045035"/>
    <w:rsid w:val="000472C3"/>
    <w:rsid w:val="0005192B"/>
    <w:rsid w:val="00052CF7"/>
    <w:rsid w:val="00052DFD"/>
    <w:rsid w:val="00054E47"/>
    <w:rsid w:val="00055FA7"/>
    <w:rsid w:val="00056461"/>
    <w:rsid w:val="000572B4"/>
    <w:rsid w:val="0006072D"/>
    <w:rsid w:val="00062AF0"/>
    <w:rsid w:val="000636B3"/>
    <w:rsid w:val="000638E6"/>
    <w:rsid w:val="00064BEB"/>
    <w:rsid w:val="00065348"/>
    <w:rsid w:val="000663DB"/>
    <w:rsid w:val="000677B5"/>
    <w:rsid w:val="00067841"/>
    <w:rsid w:val="00070117"/>
    <w:rsid w:val="000705FA"/>
    <w:rsid w:val="000727A4"/>
    <w:rsid w:val="00073643"/>
    <w:rsid w:val="00073A97"/>
    <w:rsid w:val="00075B6D"/>
    <w:rsid w:val="00076CE8"/>
    <w:rsid w:val="00080513"/>
    <w:rsid w:val="00080A5F"/>
    <w:rsid w:val="00081156"/>
    <w:rsid w:val="000823BB"/>
    <w:rsid w:val="0008284C"/>
    <w:rsid w:val="000841C8"/>
    <w:rsid w:val="00087FDC"/>
    <w:rsid w:val="00091368"/>
    <w:rsid w:val="00091A7E"/>
    <w:rsid w:val="00091E43"/>
    <w:rsid w:val="00092718"/>
    <w:rsid w:val="0009486B"/>
    <w:rsid w:val="00096704"/>
    <w:rsid w:val="000974D7"/>
    <w:rsid w:val="000975DF"/>
    <w:rsid w:val="00097ED7"/>
    <w:rsid w:val="000A0602"/>
    <w:rsid w:val="000A06E5"/>
    <w:rsid w:val="000A1522"/>
    <w:rsid w:val="000A3131"/>
    <w:rsid w:val="000A4710"/>
    <w:rsid w:val="000A5242"/>
    <w:rsid w:val="000A55C3"/>
    <w:rsid w:val="000A6037"/>
    <w:rsid w:val="000A7136"/>
    <w:rsid w:val="000B0650"/>
    <w:rsid w:val="000B0917"/>
    <w:rsid w:val="000B0C07"/>
    <w:rsid w:val="000B2F80"/>
    <w:rsid w:val="000B41F9"/>
    <w:rsid w:val="000B4301"/>
    <w:rsid w:val="000B5738"/>
    <w:rsid w:val="000B5D28"/>
    <w:rsid w:val="000B78B5"/>
    <w:rsid w:val="000C1063"/>
    <w:rsid w:val="000C1B2D"/>
    <w:rsid w:val="000C2D2D"/>
    <w:rsid w:val="000C37D1"/>
    <w:rsid w:val="000C4807"/>
    <w:rsid w:val="000C5F4E"/>
    <w:rsid w:val="000C6F0D"/>
    <w:rsid w:val="000D009A"/>
    <w:rsid w:val="000D07D6"/>
    <w:rsid w:val="000D0CBF"/>
    <w:rsid w:val="000D10AD"/>
    <w:rsid w:val="000D202B"/>
    <w:rsid w:val="000D21CE"/>
    <w:rsid w:val="000D29C4"/>
    <w:rsid w:val="000D2E2B"/>
    <w:rsid w:val="000D32A3"/>
    <w:rsid w:val="000D3561"/>
    <w:rsid w:val="000D4DBF"/>
    <w:rsid w:val="000D4DD5"/>
    <w:rsid w:val="000D7273"/>
    <w:rsid w:val="000D78A9"/>
    <w:rsid w:val="000E0E11"/>
    <w:rsid w:val="000E2266"/>
    <w:rsid w:val="000E24C1"/>
    <w:rsid w:val="000E4E57"/>
    <w:rsid w:val="000E58E2"/>
    <w:rsid w:val="000E6126"/>
    <w:rsid w:val="000E7113"/>
    <w:rsid w:val="000F05FC"/>
    <w:rsid w:val="000F0D40"/>
    <w:rsid w:val="000F276F"/>
    <w:rsid w:val="000F525B"/>
    <w:rsid w:val="000F5780"/>
    <w:rsid w:val="000F596F"/>
    <w:rsid w:val="000F6473"/>
    <w:rsid w:val="00100822"/>
    <w:rsid w:val="00100963"/>
    <w:rsid w:val="00100EBE"/>
    <w:rsid w:val="001021B9"/>
    <w:rsid w:val="0010350C"/>
    <w:rsid w:val="00103BC1"/>
    <w:rsid w:val="00106B4F"/>
    <w:rsid w:val="00107E27"/>
    <w:rsid w:val="00113E2E"/>
    <w:rsid w:val="00114FD5"/>
    <w:rsid w:val="00117502"/>
    <w:rsid w:val="00117A00"/>
    <w:rsid w:val="00120A5C"/>
    <w:rsid w:val="001212D7"/>
    <w:rsid w:val="00123224"/>
    <w:rsid w:val="0012345C"/>
    <w:rsid w:val="0012497D"/>
    <w:rsid w:val="00124E4B"/>
    <w:rsid w:val="0012671E"/>
    <w:rsid w:val="00126B53"/>
    <w:rsid w:val="00127202"/>
    <w:rsid w:val="00127742"/>
    <w:rsid w:val="001308D0"/>
    <w:rsid w:val="0013094D"/>
    <w:rsid w:val="00131553"/>
    <w:rsid w:val="00132033"/>
    <w:rsid w:val="00132154"/>
    <w:rsid w:val="001358DC"/>
    <w:rsid w:val="00136199"/>
    <w:rsid w:val="00140BCD"/>
    <w:rsid w:val="0014159A"/>
    <w:rsid w:val="001445C2"/>
    <w:rsid w:val="00144D97"/>
    <w:rsid w:val="0014595F"/>
    <w:rsid w:val="00145D81"/>
    <w:rsid w:val="001468B8"/>
    <w:rsid w:val="00146FFA"/>
    <w:rsid w:val="00147662"/>
    <w:rsid w:val="0015005A"/>
    <w:rsid w:val="001502C7"/>
    <w:rsid w:val="0015238B"/>
    <w:rsid w:val="00154707"/>
    <w:rsid w:val="001575A9"/>
    <w:rsid w:val="001579EA"/>
    <w:rsid w:val="001607E2"/>
    <w:rsid w:val="00161527"/>
    <w:rsid w:val="001621A5"/>
    <w:rsid w:val="001621BC"/>
    <w:rsid w:val="001622B6"/>
    <w:rsid w:val="001629B9"/>
    <w:rsid w:val="0016384B"/>
    <w:rsid w:val="001641FD"/>
    <w:rsid w:val="00165CB0"/>
    <w:rsid w:val="00165D0C"/>
    <w:rsid w:val="001660ED"/>
    <w:rsid w:val="00166E58"/>
    <w:rsid w:val="0017050E"/>
    <w:rsid w:val="00170720"/>
    <w:rsid w:val="001724BF"/>
    <w:rsid w:val="001725A2"/>
    <w:rsid w:val="00172EFA"/>
    <w:rsid w:val="0017331E"/>
    <w:rsid w:val="00175C0A"/>
    <w:rsid w:val="00176CE7"/>
    <w:rsid w:val="00177E2B"/>
    <w:rsid w:val="001805B1"/>
    <w:rsid w:val="001806F7"/>
    <w:rsid w:val="00182708"/>
    <w:rsid w:val="00185172"/>
    <w:rsid w:val="00186F2A"/>
    <w:rsid w:val="0018754C"/>
    <w:rsid w:val="001876F6"/>
    <w:rsid w:val="00190DD5"/>
    <w:rsid w:val="00192D43"/>
    <w:rsid w:val="00192E94"/>
    <w:rsid w:val="001937F7"/>
    <w:rsid w:val="001941B4"/>
    <w:rsid w:val="001950D2"/>
    <w:rsid w:val="001957FE"/>
    <w:rsid w:val="0019748B"/>
    <w:rsid w:val="00197524"/>
    <w:rsid w:val="001979DA"/>
    <w:rsid w:val="001A1FE1"/>
    <w:rsid w:val="001A2D63"/>
    <w:rsid w:val="001A2FAC"/>
    <w:rsid w:val="001A3F6D"/>
    <w:rsid w:val="001A5F6D"/>
    <w:rsid w:val="001B0236"/>
    <w:rsid w:val="001B1372"/>
    <w:rsid w:val="001B15AE"/>
    <w:rsid w:val="001B36BB"/>
    <w:rsid w:val="001B481B"/>
    <w:rsid w:val="001B5929"/>
    <w:rsid w:val="001B67C5"/>
    <w:rsid w:val="001C107D"/>
    <w:rsid w:val="001C12EF"/>
    <w:rsid w:val="001C150E"/>
    <w:rsid w:val="001C1D7C"/>
    <w:rsid w:val="001C2837"/>
    <w:rsid w:val="001C2F38"/>
    <w:rsid w:val="001C5474"/>
    <w:rsid w:val="001C7419"/>
    <w:rsid w:val="001C7502"/>
    <w:rsid w:val="001C7C14"/>
    <w:rsid w:val="001C7FC2"/>
    <w:rsid w:val="001D02DA"/>
    <w:rsid w:val="001D039D"/>
    <w:rsid w:val="001D0A95"/>
    <w:rsid w:val="001D214D"/>
    <w:rsid w:val="001D2EB1"/>
    <w:rsid w:val="001D2F08"/>
    <w:rsid w:val="001D3D97"/>
    <w:rsid w:val="001D58FE"/>
    <w:rsid w:val="001D5D25"/>
    <w:rsid w:val="001D612E"/>
    <w:rsid w:val="001D73DD"/>
    <w:rsid w:val="001E0449"/>
    <w:rsid w:val="001E1562"/>
    <w:rsid w:val="001E1FCE"/>
    <w:rsid w:val="001E20BC"/>
    <w:rsid w:val="001E21CE"/>
    <w:rsid w:val="001E259E"/>
    <w:rsid w:val="001E3C67"/>
    <w:rsid w:val="001E4CF9"/>
    <w:rsid w:val="001E4DC8"/>
    <w:rsid w:val="001E4F6F"/>
    <w:rsid w:val="001E5F1C"/>
    <w:rsid w:val="001E68E0"/>
    <w:rsid w:val="001E73DD"/>
    <w:rsid w:val="001E75B2"/>
    <w:rsid w:val="001F2299"/>
    <w:rsid w:val="001F23EA"/>
    <w:rsid w:val="001F2EB8"/>
    <w:rsid w:val="001F2FAB"/>
    <w:rsid w:val="001F340F"/>
    <w:rsid w:val="001F51BA"/>
    <w:rsid w:val="001F53AF"/>
    <w:rsid w:val="001F5938"/>
    <w:rsid w:val="001F7FCC"/>
    <w:rsid w:val="002044B3"/>
    <w:rsid w:val="00206433"/>
    <w:rsid w:val="002065BA"/>
    <w:rsid w:val="00206D17"/>
    <w:rsid w:val="002115DA"/>
    <w:rsid w:val="002116A4"/>
    <w:rsid w:val="00211C4A"/>
    <w:rsid w:val="002122D2"/>
    <w:rsid w:val="0021294E"/>
    <w:rsid w:val="00215F19"/>
    <w:rsid w:val="00216851"/>
    <w:rsid w:val="00216EA0"/>
    <w:rsid w:val="00217A6D"/>
    <w:rsid w:val="00217B1B"/>
    <w:rsid w:val="0022033A"/>
    <w:rsid w:val="00220551"/>
    <w:rsid w:val="002213A8"/>
    <w:rsid w:val="002221AB"/>
    <w:rsid w:val="00222704"/>
    <w:rsid w:val="00222CE9"/>
    <w:rsid w:val="00223927"/>
    <w:rsid w:val="0022623F"/>
    <w:rsid w:val="0022658D"/>
    <w:rsid w:val="00226EFD"/>
    <w:rsid w:val="0023182B"/>
    <w:rsid w:val="002318AF"/>
    <w:rsid w:val="00231ECC"/>
    <w:rsid w:val="00232784"/>
    <w:rsid w:val="00232E19"/>
    <w:rsid w:val="00233926"/>
    <w:rsid w:val="00234162"/>
    <w:rsid w:val="00234554"/>
    <w:rsid w:val="00235A59"/>
    <w:rsid w:val="0023729C"/>
    <w:rsid w:val="00237646"/>
    <w:rsid w:val="00237881"/>
    <w:rsid w:val="00240068"/>
    <w:rsid w:val="00241217"/>
    <w:rsid w:val="00243A0E"/>
    <w:rsid w:val="00245CAD"/>
    <w:rsid w:val="00245F5C"/>
    <w:rsid w:val="00246218"/>
    <w:rsid w:val="00246D6D"/>
    <w:rsid w:val="002504E6"/>
    <w:rsid w:val="002528FF"/>
    <w:rsid w:val="00252CA1"/>
    <w:rsid w:val="0025396F"/>
    <w:rsid w:val="00253DE0"/>
    <w:rsid w:val="00253DFE"/>
    <w:rsid w:val="00253F05"/>
    <w:rsid w:val="00255666"/>
    <w:rsid w:val="002556A9"/>
    <w:rsid w:val="0025664C"/>
    <w:rsid w:val="002572C6"/>
    <w:rsid w:val="0025754B"/>
    <w:rsid w:val="00257654"/>
    <w:rsid w:val="00257BA3"/>
    <w:rsid w:val="00257F85"/>
    <w:rsid w:val="0026008B"/>
    <w:rsid w:val="0026151A"/>
    <w:rsid w:val="00261662"/>
    <w:rsid w:val="00261781"/>
    <w:rsid w:val="002624BB"/>
    <w:rsid w:val="00262894"/>
    <w:rsid w:val="00263793"/>
    <w:rsid w:val="002638DB"/>
    <w:rsid w:val="00263ABA"/>
    <w:rsid w:val="00263C37"/>
    <w:rsid w:val="0026516B"/>
    <w:rsid w:val="00271138"/>
    <w:rsid w:val="00271921"/>
    <w:rsid w:val="00271A9A"/>
    <w:rsid w:val="00272D7B"/>
    <w:rsid w:val="00275DC7"/>
    <w:rsid w:val="002763F9"/>
    <w:rsid w:val="002768DE"/>
    <w:rsid w:val="0028054B"/>
    <w:rsid w:val="00280882"/>
    <w:rsid w:val="002821A4"/>
    <w:rsid w:val="002821E0"/>
    <w:rsid w:val="002823B3"/>
    <w:rsid w:val="00283618"/>
    <w:rsid w:val="0028565E"/>
    <w:rsid w:val="002858AD"/>
    <w:rsid w:val="00285ED7"/>
    <w:rsid w:val="00286D10"/>
    <w:rsid w:val="0028726C"/>
    <w:rsid w:val="00290189"/>
    <w:rsid w:val="0029242D"/>
    <w:rsid w:val="0029579E"/>
    <w:rsid w:val="00296A43"/>
    <w:rsid w:val="0029748A"/>
    <w:rsid w:val="002A0ADB"/>
    <w:rsid w:val="002A131F"/>
    <w:rsid w:val="002A1CCF"/>
    <w:rsid w:val="002A38D1"/>
    <w:rsid w:val="002A3B35"/>
    <w:rsid w:val="002A5FC9"/>
    <w:rsid w:val="002A6D74"/>
    <w:rsid w:val="002A7B1B"/>
    <w:rsid w:val="002B0236"/>
    <w:rsid w:val="002B070D"/>
    <w:rsid w:val="002B2A68"/>
    <w:rsid w:val="002B3241"/>
    <w:rsid w:val="002B501E"/>
    <w:rsid w:val="002B5317"/>
    <w:rsid w:val="002B5DF7"/>
    <w:rsid w:val="002B5E59"/>
    <w:rsid w:val="002B66FB"/>
    <w:rsid w:val="002B6800"/>
    <w:rsid w:val="002B7A40"/>
    <w:rsid w:val="002C05F6"/>
    <w:rsid w:val="002C35A7"/>
    <w:rsid w:val="002C3AD6"/>
    <w:rsid w:val="002C4095"/>
    <w:rsid w:val="002C4F8C"/>
    <w:rsid w:val="002C703D"/>
    <w:rsid w:val="002C7455"/>
    <w:rsid w:val="002D31EC"/>
    <w:rsid w:val="002D3A9F"/>
    <w:rsid w:val="002D41AC"/>
    <w:rsid w:val="002D6201"/>
    <w:rsid w:val="002D6366"/>
    <w:rsid w:val="002D69D3"/>
    <w:rsid w:val="002D7B0C"/>
    <w:rsid w:val="002E013C"/>
    <w:rsid w:val="002E0394"/>
    <w:rsid w:val="002E3707"/>
    <w:rsid w:val="002E3778"/>
    <w:rsid w:val="002E3947"/>
    <w:rsid w:val="002E43CD"/>
    <w:rsid w:val="002E51CF"/>
    <w:rsid w:val="002E57A3"/>
    <w:rsid w:val="002E58B9"/>
    <w:rsid w:val="002E6503"/>
    <w:rsid w:val="002E6F35"/>
    <w:rsid w:val="002E75AB"/>
    <w:rsid w:val="002F02D8"/>
    <w:rsid w:val="002F0857"/>
    <w:rsid w:val="002F2B80"/>
    <w:rsid w:val="002F3289"/>
    <w:rsid w:val="002F33F5"/>
    <w:rsid w:val="002F4354"/>
    <w:rsid w:val="002F47F4"/>
    <w:rsid w:val="002F6307"/>
    <w:rsid w:val="002F7A82"/>
    <w:rsid w:val="00301B47"/>
    <w:rsid w:val="00301C74"/>
    <w:rsid w:val="00302F68"/>
    <w:rsid w:val="0030398A"/>
    <w:rsid w:val="003050D3"/>
    <w:rsid w:val="003051AE"/>
    <w:rsid w:val="00307689"/>
    <w:rsid w:val="003108EA"/>
    <w:rsid w:val="0031230A"/>
    <w:rsid w:val="00312A5D"/>
    <w:rsid w:val="003137AD"/>
    <w:rsid w:val="00313AB6"/>
    <w:rsid w:val="00314855"/>
    <w:rsid w:val="00316011"/>
    <w:rsid w:val="00316957"/>
    <w:rsid w:val="00317121"/>
    <w:rsid w:val="00317D00"/>
    <w:rsid w:val="00317D57"/>
    <w:rsid w:val="00317EB8"/>
    <w:rsid w:val="0032026C"/>
    <w:rsid w:val="00321251"/>
    <w:rsid w:val="00321FE7"/>
    <w:rsid w:val="00322F72"/>
    <w:rsid w:val="0032498E"/>
    <w:rsid w:val="003259A4"/>
    <w:rsid w:val="003261A2"/>
    <w:rsid w:val="003263FF"/>
    <w:rsid w:val="00326584"/>
    <w:rsid w:val="00326C11"/>
    <w:rsid w:val="003272DC"/>
    <w:rsid w:val="0032751A"/>
    <w:rsid w:val="00327E31"/>
    <w:rsid w:val="003305DF"/>
    <w:rsid w:val="003308FB"/>
    <w:rsid w:val="0033198A"/>
    <w:rsid w:val="003331C1"/>
    <w:rsid w:val="003336BD"/>
    <w:rsid w:val="00333AEB"/>
    <w:rsid w:val="00334016"/>
    <w:rsid w:val="0033441F"/>
    <w:rsid w:val="00334F7B"/>
    <w:rsid w:val="003365EB"/>
    <w:rsid w:val="00336C2E"/>
    <w:rsid w:val="0034104E"/>
    <w:rsid w:val="00342E97"/>
    <w:rsid w:val="00343EE8"/>
    <w:rsid w:val="00344865"/>
    <w:rsid w:val="00344A5B"/>
    <w:rsid w:val="003453CA"/>
    <w:rsid w:val="00345FBC"/>
    <w:rsid w:val="0034642A"/>
    <w:rsid w:val="00350C99"/>
    <w:rsid w:val="00351406"/>
    <w:rsid w:val="00351D3B"/>
    <w:rsid w:val="00351E91"/>
    <w:rsid w:val="00354054"/>
    <w:rsid w:val="0035485D"/>
    <w:rsid w:val="0035612D"/>
    <w:rsid w:val="003563AE"/>
    <w:rsid w:val="003573FC"/>
    <w:rsid w:val="003576EE"/>
    <w:rsid w:val="003611BB"/>
    <w:rsid w:val="00361576"/>
    <w:rsid w:val="003650A7"/>
    <w:rsid w:val="00365704"/>
    <w:rsid w:val="00366D78"/>
    <w:rsid w:val="00370350"/>
    <w:rsid w:val="00370E71"/>
    <w:rsid w:val="00371FB4"/>
    <w:rsid w:val="00374470"/>
    <w:rsid w:val="00374AEF"/>
    <w:rsid w:val="003776CE"/>
    <w:rsid w:val="003806C9"/>
    <w:rsid w:val="003811C8"/>
    <w:rsid w:val="00381565"/>
    <w:rsid w:val="00383555"/>
    <w:rsid w:val="003848CB"/>
    <w:rsid w:val="003852D5"/>
    <w:rsid w:val="00385B45"/>
    <w:rsid w:val="00386152"/>
    <w:rsid w:val="003865A3"/>
    <w:rsid w:val="003869C5"/>
    <w:rsid w:val="00386C14"/>
    <w:rsid w:val="00386D37"/>
    <w:rsid w:val="00387131"/>
    <w:rsid w:val="00390330"/>
    <w:rsid w:val="00390C9A"/>
    <w:rsid w:val="003913F8"/>
    <w:rsid w:val="00392C14"/>
    <w:rsid w:val="00392FF9"/>
    <w:rsid w:val="003931DE"/>
    <w:rsid w:val="00395F97"/>
    <w:rsid w:val="00397D5A"/>
    <w:rsid w:val="003A1FC9"/>
    <w:rsid w:val="003A481D"/>
    <w:rsid w:val="003A52B6"/>
    <w:rsid w:val="003B2F5F"/>
    <w:rsid w:val="003B4B1E"/>
    <w:rsid w:val="003B4BD3"/>
    <w:rsid w:val="003B528D"/>
    <w:rsid w:val="003B5573"/>
    <w:rsid w:val="003B57AF"/>
    <w:rsid w:val="003B797F"/>
    <w:rsid w:val="003C0CB3"/>
    <w:rsid w:val="003C22E9"/>
    <w:rsid w:val="003C3203"/>
    <w:rsid w:val="003C39A2"/>
    <w:rsid w:val="003C70CA"/>
    <w:rsid w:val="003D03F7"/>
    <w:rsid w:val="003D56C0"/>
    <w:rsid w:val="003D5F15"/>
    <w:rsid w:val="003D6D0F"/>
    <w:rsid w:val="003D6FE5"/>
    <w:rsid w:val="003E129A"/>
    <w:rsid w:val="003E308D"/>
    <w:rsid w:val="003E3A24"/>
    <w:rsid w:val="003E3A9B"/>
    <w:rsid w:val="003E46EA"/>
    <w:rsid w:val="003E6892"/>
    <w:rsid w:val="003E6899"/>
    <w:rsid w:val="003E68A2"/>
    <w:rsid w:val="003E78FB"/>
    <w:rsid w:val="003F0F01"/>
    <w:rsid w:val="003F2135"/>
    <w:rsid w:val="003F2B5E"/>
    <w:rsid w:val="003F302C"/>
    <w:rsid w:val="003F3C6E"/>
    <w:rsid w:val="003F637D"/>
    <w:rsid w:val="003F6753"/>
    <w:rsid w:val="003F6D64"/>
    <w:rsid w:val="003F7226"/>
    <w:rsid w:val="003F7CAD"/>
    <w:rsid w:val="0040177F"/>
    <w:rsid w:val="004019DA"/>
    <w:rsid w:val="00401B92"/>
    <w:rsid w:val="00401FB9"/>
    <w:rsid w:val="004021D9"/>
    <w:rsid w:val="004023F3"/>
    <w:rsid w:val="00403140"/>
    <w:rsid w:val="00404961"/>
    <w:rsid w:val="004108C0"/>
    <w:rsid w:val="0041193D"/>
    <w:rsid w:val="00411F67"/>
    <w:rsid w:val="00412820"/>
    <w:rsid w:val="00412D3B"/>
    <w:rsid w:val="00413330"/>
    <w:rsid w:val="0041412B"/>
    <w:rsid w:val="00415FBB"/>
    <w:rsid w:val="0041626A"/>
    <w:rsid w:val="00416357"/>
    <w:rsid w:val="00416837"/>
    <w:rsid w:val="00416A88"/>
    <w:rsid w:val="004170E9"/>
    <w:rsid w:val="00417878"/>
    <w:rsid w:val="00425592"/>
    <w:rsid w:val="00427C38"/>
    <w:rsid w:val="00427FA2"/>
    <w:rsid w:val="00430806"/>
    <w:rsid w:val="004308AB"/>
    <w:rsid w:val="004314AF"/>
    <w:rsid w:val="00431A98"/>
    <w:rsid w:val="004323F5"/>
    <w:rsid w:val="00432925"/>
    <w:rsid w:val="00433D4B"/>
    <w:rsid w:val="00434D0F"/>
    <w:rsid w:val="0044062F"/>
    <w:rsid w:val="004425ED"/>
    <w:rsid w:val="00442CA6"/>
    <w:rsid w:val="00442D13"/>
    <w:rsid w:val="00443817"/>
    <w:rsid w:val="00443825"/>
    <w:rsid w:val="00445469"/>
    <w:rsid w:val="0044580B"/>
    <w:rsid w:val="0045021D"/>
    <w:rsid w:val="004506D5"/>
    <w:rsid w:val="00450AC3"/>
    <w:rsid w:val="0045119D"/>
    <w:rsid w:val="004518FF"/>
    <w:rsid w:val="004523BB"/>
    <w:rsid w:val="00453EB2"/>
    <w:rsid w:val="0045489B"/>
    <w:rsid w:val="00455212"/>
    <w:rsid w:val="00455B9F"/>
    <w:rsid w:val="004561AE"/>
    <w:rsid w:val="00456FAA"/>
    <w:rsid w:val="00457853"/>
    <w:rsid w:val="004608B1"/>
    <w:rsid w:val="004616C2"/>
    <w:rsid w:val="00463815"/>
    <w:rsid w:val="004644B0"/>
    <w:rsid w:val="00464E3A"/>
    <w:rsid w:val="00465D8A"/>
    <w:rsid w:val="00465E45"/>
    <w:rsid w:val="00466D62"/>
    <w:rsid w:val="004703DC"/>
    <w:rsid w:val="0047273C"/>
    <w:rsid w:val="0047409F"/>
    <w:rsid w:val="00474614"/>
    <w:rsid w:val="00474834"/>
    <w:rsid w:val="00474FDE"/>
    <w:rsid w:val="0047526C"/>
    <w:rsid w:val="00475E01"/>
    <w:rsid w:val="004770DD"/>
    <w:rsid w:val="004773FC"/>
    <w:rsid w:val="00480421"/>
    <w:rsid w:val="00480C3F"/>
    <w:rsid w:val="004817E7"/>
    <w:rsid w:val="004818DB"/>
    <w:rsid w:val="00481BD2"/>
    <w:rsid w:val="0048243E"/>
    <w:rsid w:val="00482B15"/>
    <w:rsid w:val="00482D0F"/>
    <w:rsid w:val="004842BF"/>
    <w:rsid w:val="004868CF"/>
    <w:rsid w:val="004871E4"/>
    <w:rsid w:val="004910F8"/>
    <w:rsid w:val="004913DC"/>
    <w:rsid w:val="00491547"/>
    <w:rsid w:val="00492992"/>
    <w:rsid w:val="004939F3"/>
    <w:rsid w:val="00494D85"/>
    <w:rsid w:val="004953E9"/>
    <w:rsid w:val="004961A8"/>
    <w:rsid w:val="0049622D"/>
    <w:rsid w:val="004970EF"/>
    <w:rsid w:val="00497D26"/>
    <w:rsid w:val="004A1FF2"/>
    <w:rsid w:val="004A2635"/>
    <w:rsid w:val="004A3807"/>
    <w:rsid w:val="004A38FB"/>
    <w:rsid w:val="004A7381"/>
    <w:rsid w:val="004A77AF"/>
    <w:rsid w:val="004B06EE"/>
    <w:rsid w:val="004B0988"/>
    <w:rsid w:val="004B17D6"/>
    <w:rsid w:val="004B3042"/>
    <w:rsid w:val="004B42FD"/>
    <w:rsid w:val="004B4476"/>
    <w:rsid w:val="004B4C32"/>
    <w:rsid w:val="004B633A"/>
    <w:rsid w:val="004B7743"/>
    <w:rsid w:val="004B7929"/>
    <w:rsid w:val="004B7A8A"/>
    <w:rsid w:val="004C050F"/>
    <w:rsid w:val="004C2A57"/>
    <w:rsid w:val="004C32D8"/>
    <w:rsid w:val="004C3963"/>
    <w:rsid w:val="004C3BBD"/>
    <w:rsid w:val="004C3DAB"/>
    <w:rsid w:val="004C46C7"/>
    <w:rsid w:val="004C4E06"/>
    <w:rsid w:val="004C5A3C"/>
    <w:rsid w:val="004C7312"/>
    <w:rsid w:val="004D00D6"/>
    <w:rsid w:val="004D04FB"/>
    <w:rsid w:val="004D07F9"/>
    <w:rsid w:val="004D167C"/>
    <w:rsid w:val="004D2451"/>
    <w:rsid w:val="004D3801"/>
    <w:rsid w:val="004D4206"/>
    <w:rsid w:val="004D5C4D"/>
    <w:rsid w:val="004D634B"/>
    <w:rsid w:val="004D7B83"/>
    <w:rsid w:val="004E0A53"/>
    <w:rsid w:val="004E0B97"/>
    <w:rsid w:val="004E0D7F"/>
    <w:rsid w:val="004E101D"/>
    <w:rsid w:val="004E1090"/>
    <w:rsid w:val="004E57CB"/>
    <w:rsid w:val="004E6061"/>
    <w:rsid w:val="004E60B6"/>
    <w:rsid w:val="004E64DB"/>
    <w:rsid w:val="004E78D1"/>
    <w:rsid w:val="004F2F9F"/>
    <w:rsid w:val="004F43A3"/>
    <w:rsid w:val="004F4E66"/>
    <w:rsid w:val="004F54D4"/>
    <w:rsid w:val="004F5891"/>
    <w:rsid w:val="004F5F82"/>
    <w:rsid w:val="004F61C9"/>
    <w:rsid w:val="004F6339"/>
    <w:rsid w:val="004F63FD"/>
    <w:rsid w:val="004F6BEA"/>
    <w:rsid w:val="004F7CD7"/>
    <w:rsid w:val="00500864"/>
    <w:rsid w:val="00500D9B"/>
    <w:rsid w:val="00500F36"/>
    <w:rsid w:val="00501F87"/>
    <w:rsid w:val="00501F9E"/>
    <w:rsid w:val="0050328C"/>
    <w:rsid w:val="005041C4"/>
    <w:rsid w:val="005042D6"/>
    <w:rsid w:val="005058EB"/>
    <w:rsid w:val="00506AC3"/>
    <w:rsid w:val="00506DF7"/>
    <w:rsid w:val="005106AF"/>
    <w:rsid w:val="0051091C"/>
    <w:rsid w:val="0051092E"/>
    <w:rsid w:val="00512364"/>
    <w:rsid w:val="00512AD5"/>
    <w:rsid w:val="00514806"/>
    <w:rsid w:val="005160D6"/>
    <w:rsid w:val="00522275"/>
    <w:rsid w:val="005231E5"/>
    <w:rsid w:val="00523211"/>
    <w:rsid w:val="00523CDC"/>
    <w:rsid w:val="0052417A"/>
    <w:rsid w:val="00524645"/>
    <w:rsid w:val="005249F5"/>
    <w:rsid w:val="00526990"/>
    <w:rsid w:val="00526CA5"/>
    <w:rsid w:val="00527001"/>
    <w:rsid w:val="00527062"/>
    <w:rsid w:val="0052706A"/>
    <w:rsid w:val="0052787B"/>
    <w:rsid w:val="00530BA6"/>
    <w:rsid w:val="0053106D"/>
    <w:rsid w:val="00532804"/>
    <w:rsid w:val="00532B71"/>
    <w:rsid w:val="0053369F"/>
    <w:rsid w:val="00534438"/>
    <w:rsid w:val="00535C57"/>
    <w:rsid w:val="00535F46"/>
    <w:rsid w:val="00536F72"/>
    <w:rsid w:val="00540808"/>
    <w:rsid w:val="0054225B"/>
    <w:rsid w:val="005465DB"/>
    <w:rsid w:val="00547347"/>
    <w:rsid w:val="00547D05"/>
    <w:rsid w:val="005501F8"/>
    <w:rsid w:val="00552105"/>
    <w:rsid w:val="0055212B"/>
    <w:rsid w:val="00552BCD"/>
    <w:rsid w:val="00552E63"/>
    <w:rsid w:val="00553F02"/>
    <w:rsid w:val="005545F1"/>
    <w:rsid w:val="005570A6"/>
    <w:rsid w:val="00557D89"/>
    <w:rsid w:val="005605C1"/>
    <w:rsid w:val="005640FF"/>
    <w:rsid w:val="00564498"/>
    <w:rsid w:val="00565837"/>
    <w:rsid w:val="005663E9"/>
    <w:rsid w:val="005673FB"/>
    <w:rsid w:val="00571AA4"/>
    <w:rsid w:val="00571B91"/>
    <w:rsid w:val="00571ED0"/>
    <w:rsid w:val="00572D85"/>
    <w:rsid w:val="00573F9D"/>
    <w:rsid w:val="005743C3"/>
    <w:rsid w:val="0057521F"/>
    <w:rsid w:val="0057626B"/>
    <w:rsid w:val="00576487"/>
    <w:rsid w:val="00576F0C"/>
    <w:rsid w:val="005807EA"/>
    <w:rsid w:val="0058217B"/>
    <w:rsid w:val="0058378B"/>
    <w:rsid w:val="00583E83"/>
    <w:rsid w:val="00583F3C"/>
    <w:rsid w:val="00585C2D"/>
    <w:rsid w:val="00585D4B"/>
    <w:rsid w:val="005870FD"/>
    <w:rsid w:val="0058798B"/>
    <w:rsid w:val="00590935"/>
    <w:rsid w:val="00590C5F"/>
    <w:rsid w:val="00591084"/>
    <w:rsid w:val="00591709"/>
    <w:rsid w:val="00591CDE"/>
    <w:rsid w:val="00596486"/>
    <w:rsid w:val="005968EA"/>
    <w:rsid w:val="00597F83"/>
    <w:rsid w:val="005A0ADA"/>
    <w:rsid w:val="005A147F"/>
    <w:rsid w:val="005A24E4"/>
    <w:rsid w:val="005A27A7"/>
    <w:rsid w:val="005A3D29"/>
    <w:rsid w:val="005A6EA9"/>
    <w:rsid w:val="005A7710"/>
    <w:rsid w:val="005A795E"/>
    <w:rsid w:val="005A7C83"/>
    <w:rsid w:val="005B27C1"/>
    <w:rsid w:val="005B43A1"/>
    <w:rsid w:val="005B52F5"/>
    <w:rsid w:val="005B65FA"/>
    <w:rsid w:val="005B6BAA"/>
    <w:rsid w:val="005C0001"/>
    <w:rsid w:val="005C2B0C"/>
    <w:rsid w:val="005C2CCD"/>
    <w:rsid w:val="005C3C6A"/>
    <w:rsid w:val="005C4A43"/>
    <w:rsid w:val="005C7624"/>
    <w:rsid w:val="005D0965"/>
    <w:rsid w:val="005D09FA"/>
    <w:rsid w:val="005D402A"/>
    <w:rsid w:val="005D4957"/>
    <w:rsid w:val="005D4C13"/>
    <w:rsid w:val="005D63FE"/>
    <w:rsid w:val="005D7487"/>
    <w:rsid w:val="005E1E01"/>
    <w:rsid w:val="005E491A"/>
    <w:rsid w:val="005E55D1"/>
    <w:rsid w:val="005E5DFA"/>
    <w:rsid w:val="005E5ED8"/>
    <w:rsid w:val="005E70D1"/>
    <w:rsid w:val="005E75A1"/>
    <w:rsid w:val="005F1BA3"/>
    <w:rsid w:val="005F46C9"/>
    <w:rsid w:val="005F4B8A"/>
    <w:rsid w:val="005F6419"/>
    <w:rsid w:val="005F70A9"/>
    <w:rsid w:val="005F721A"/>
    <w:rsid w:val="00602364"/>
    <w:rsid w:val="006034B0"/>
    <w:rsid w:val="00603648"/>
    <w:rsid w:val="00603B8D"/>
    <w:rsid w:val="00604661"/>
    <w:rsid w:val="00604794"/>
    <w:rsid w:val="006060E8"/>
    <w:rsid w:val="00606226"/>
    <w:rsid w:val="00606963"/>
    <w:rsid w:val="00607188"/>
    <w:rsid w:val="00607938"/>
    <w:rsid w:val="006106DA"/>
    <w:rsid w:val="00610B53"/>
    <w:rsid w:val="006137E6"/>
    <w:rsid w:val="00613A1B"/>
    <w:rsid w:val="00614101"/>
    <w:rsid w:val="00614495"/>
    <w:rsid w:val="006149B8"/>
    <w:rsid w:val="00614B24"/>
    <w:rsid w:val="00615AE8"/>
    <w:rsid w:val="00615CC8"/>
    <w:rsid w:val="0062008C"/>
    <w:rsid w:val="00620BDB"/>
    <w:rsid w:val="006241B4"/>
    <w:rsid w:val="006241B7"/>
    <w:rsid w:val="00624B15"/>
    <w:rsid w:val="00625BB4"/>
    <w:rsid w:val="0062640A"/>
    <w:rsid w:val="0062782F"/>
    <w:rsid w:val="00630D10"/>
    <w:rsid w:val="00631B8E"/>
    <w:rsid w:val="00632004"/>
    <w:rsid w:val="00632C1A"/>
    <w:rsid w:val="00634011"/>
    <w:rsid w:val="006342F4"/>
    <w:rsid w:val="00635590"/>
    <w:rsid w:val="00635774"/>
    <w:rsid w:val="00635DE6"/>
    <w:rsid w:val="00635F09"/>
    <w:rsid w:val="00637EA8"/>
    <w:rsid w:val="00637FD4"/>
    <w:rsid w:val="0064002A"/>
    <w:rsid w:val="0064004C"/>
    <w:rsid w:val="006400E8"/>
    <w:rsid w:val="0064044F"/>
    <w:rsid w:val="006413FF"/>
    <w:rsid w:val="00642196"/>
    <w:rsid w:val="00643401"/>
    <w:rsid w:val="006472D8"/>
    <w:rsid w:val="00647A84"/>
    <w:rsid w:val="00647CB6"/>
    <w:rsid w:val="00652165"/>
    <w:rsid w:val="00653846"/>
    <w:rsid w:val="00654147"/>
    <w:rsid w:val="006544A6"/>
    <w:rsid w:val="006579BD"/>
    <w:rsid w:val="00657F7F"/>
    <w:rsid w:val="0066386A"/>
    <w:rsid w:val="0066394F"/>
    <w:rsid w:val="006640F4"/>
    <w:rsid w:val="00664C9B"/>
    <w:rsid w:val="00666596"/>
    <w:rsid w:val="00666FC9"/>
    <w:rsid w:val="0066703E"/>
    <w:rsid w:val="00667082"/>
    <w:rsid w:val="00670A02"/>
    <w:rsid w:val="00670ED2"/>
    <w:rsid w:val="00671104"/>
    <w:rsid w:val="006711BF"/>
    <w:rsid w:val="00671918"/>
    <w:rsid w:val="006734E3"/>
    <w:rsid w:val="00674B67"/>
    <w:rsid w:val="00675708"/>
    <w:rsid w:val="00676ED6"/>
    <w:rsid w:val="00680941"/>
    <w:rsid w:val="006820F3"/>
    <w:rsid w:val="00683050"/>
    <w:rsid w:val="00684AD9"/>
    <w:rsid w:val="00684F83"/>
    <w:rsid w:val="00685186"/>
    <w:rsid w:val="0068582B"/>
    <w:rsid w:val="0068608B"/>
    <w:rsid w:val="00691596"/>
    <w:rsid w:val="0069164F"/>
    <w:rsid w:val="00691C3C"/>
    <w:rsid w:val="00691DBF"/>
    <w:rsid w:val="00692112"/>
    <w:rsid w:val="00693C0E"/>
    <w:rsid w:val="00695578"/>
    <w:rsid w:val="006957F9"/>
    <w:rsid w:val="00695E14"/>
    <w:rsid w:val="00696178"/>
    <w:rsid w:val="006978E8"/>
    <w:rsid w:val="006A0D57"/>
    <w:rsid w:val="006A2358"/>
    <w:rsid w:val="006A23FC"/>
    <w:rsid w:val="006A24EC"/>
    <w:rsid w:val="006A2BA0"/>
    <w:rsid w:val="006A31B0"/>
    <w:rsid w:val="006A38DF"/>
    <w:rsid w:val="006A3E12"/>
    <w:rsid w:val="006A470C"/>
    <w:rsid w:val="006A5BF3"/>
    <w:rsid w:val="006A6AEA"/>
    <w:rsid w:val="006A7CED"/>
    <w:rsid w:val="006B0C47"/>
    <w:rsid w:val="006B1CC6"/>
    <w:rsid w:val="006B2381"/>
    <w:rsid w:val="006B24D9"/>
    <w:rsid w:val="006B27F6"/>
    <w:rsid w:val="006B35CB"/>
    <w:rsid w:val="006B6078"/>
    <w:rsid w:val="006B6C6D"/>
    <w:rsid w:val="006B6DEB"/>
    <w:rsid w:val="006B7A78"/>
    <w:rsid w:val="006B7F4C"/>
    <w:rsid w:val="006C03D2"/>
    <w:rsid w:val="006C1D31"/>
    <w:rsid w:val="006C3026"/>
    <w:rsid w:val="006C3057"/>
    <w:rsid w:val="006C3611"/>
    <w:rsid w:val="006C4059"/>
    <w:rsid w:val="006C47A8"/>
    <w:rsid w:val="006D03CC"/>
    <w:rsid w:val="006D1995"/>
    <w:rsid w:val="006D23E6"/>
    <w:rsid w:val="006D5091"/>
    <w:rsid w:val="006D79BC"/>
    <w:rsid w:val="006E0657"/>
    <w:rsid w:val="006E130E"/>
    <w:rsid w:val="006E1CE5"/>
    <w:rsid w:val="006E3837"/>
    <w:rsid w:val="006E412C"/>
    <w:rsid w:val="006E7139"/>
    <w:rsid w:val="006F03C1"/>
    <w:rsid w:val="006F2A2F"/>
    <w:rsid w:val="006F3597"/>
    <w:rsid w:val="006F3DAC"/>
    <w:rsid w:val="006F5A84"/>
    <w:rsid w:val="006F69B9"/>
    <w:rsid w:val="006F7D78"/>
    <w:rsid w:val="007001D0"/>
    <w:rsid w:val="00700B35"/>
    <w:rsid w:val="00701211"/>
    <w:rsid w:val="00703B38"/>
    <w:rsid w:val="00703BB5"/>
    <w:rsid w:val="007044AB"/>
    <w:rsid w:val="00706B58"/>
    <w:rsid w:val="0070711C"/>
    <w:rsid w:val="00707D61"/>
    <w:rsid w:val="00710B8C"/>
    <w:rsid w:val="00711F92"/>
    <w:rsid w:val="00712180"/>
    <w:rsid w:val="00712782"/>
    <w:rsid w:val="00712FC9"/>
    <w:rsid w:val="00717B9B"/>
    <w:rsid w:val="00717F58"/>
    <w:rsid w:val="007212A5"/>
    <w:rsid w:val="00722479"/>
    <w:rsid w:val="007229A4"/>
    <w:rsid w:val="00722A2A"/>
    <w:rsid w:val="0072305C"/>
    <w:rsid w:val="00724A3F"/>
    <w:rsid w:val="00725348"/>
    <w:rsid w:val="00725460"/>
    <w:rsid w:val="007256F0"/>
    <w:rsid w:val="007277BF"/>
    <w:rsid w:val="00730924"/>
    <w:rsid w:val="00731385"/>
    <w:rsid w:val="00733473"/>
    <w:rsid w:val="007373AA"/>
    <w:rsid w:val="00741586"/>
    <w:rsid w:val="00742CA9"/>
    <w:rsid w:val="00746F8E"/>
    <w:rsid w:val="007470F5"/>
    <w:rsid w:val="00747969"/>
    <w:rsid w:val="00750AC9"/>
    <w:rsid w:val="00751813"/>
    <w:rsid w:val="007525CF"/>
    <w:rsid w:val="00753ACA"/>
    <w:rsid w:val="00754284"/>
    <w:rsid w:val="00761072"/>
    <w:rsid w:val="007620CE"/>
    <w:rsid w:val="007628E8"/>
    <w:rsid w:val="0076487E"/>
    <w:rsid w:val="00766359"/>
    <w:rsid w:val="00767A07"/>
    <w:rsid w:val="007704B8"/>
    <w:rsid w:val="00770C0B"/>
    <w:rsid w:val="00770FA5"/>
    <w:rsid w:val="0077143F"/>
    <w:rsid w:val="007723BA"/>
    <w:rsid w:val="00772CBA"/>
    <w:rsid w:val="00772FAC"/>
    <w:rsid w:val="00776592"/>
    <w:rsid w:val="007773AF"/>
    <w:rsid w:val="0078234D"/>
    <w:rsid w:val="00782919"/>
    <w:rsid w:val="007834A4"/>
    <w:rsid w:val="007838EB"/>
    <w:rsid w:val="00784631"/>
    <w:rsid w:val="00784640"/>
    <w:rsid w:val="00784AE1"/>
    <w:rsid w:val="00785E65"/>
    <w:rsid w:val="0078656E"/>
    <w:rsid w:val="00790CAA"/>
    <w:rsid w:val="007917E3"/>
    <w:rsid w:val="00791D55"/>
    <w:rsid w:val="00792A55"/>
    <w:rsid w:val="00793FE4"/>
    <w:rsid w:val="00795E49"/>
    <w:rsid w:val="0079629A"/>
    <w:rsid w:val="00796536"/>
    <w:rsid w:val="007979B2"/>
    <w:rsid w:val="00797E79"/>
    <w:rsid w:val="007A0E92"/>
    <w:rsid w:val="007A2A0A"/>
    <w:rsid w:val="007A2FCF"/>
    <w:rsid w:val="007A425B"/>
    <w:rsid w:val="007A4A11"/>
    <w:rsid w:val="007A4D15"/>
    <w:rsid w:val="007A6EDF"/>
    <w:rsid w:val="007B15E0"/>
    <w:rsid w:val="007B250C"/>
    <w:rsid w:val="007B42A1"/>
    <w:rsid w:val="007B500D"/>
    <w:rsid w:val="007B556E"/>
    <w:rsid w:val="007B6510"/>
    <w:rsid w:val="007B6973"/>
    <w:rsid w:val="007C1112"/>
    <w:rsid w:val="007C1D63"/>
    <w:rsid w:val="007C480D"/>
    <w:rsid w:val="007C4EBB"/>
    <w:rsid w:val="007C615B"/>
    <w:rsid w:val="007C685F"/>
    <w:rsid w:val="007C7804"/>
    <w:rsid w:val="007D0F94"/>
    <w:rsid w:val="007D11DE"/>
    <w:rsid w:val="007D3CCE"/>
    <w:rsid w:val="007D5454"/>
    <w:rsid w:val="007D6802"/>
    <w:rsid w:val="007D68A1"/>
    <w:rsid w:val="007E4266"/>
    <w:rsid w:val="007E4772"/>
    <w:rsid w:val="007E496C"/>
    <w:rsid w:val="007E4C2E"/>
    <w:rsid w:val="007E5253"/>
    <w:rsid w:val="007E729F"/>
    <w:rsid w:val="007E7DB9"/>
    <w:rsid w:val="007F03B2"/>
    <w:rsid w:val="007F245D"/>
    <w:rsid w:val="007F2650"/>
    <w:rsid w:val="007F2898"/>
    <w:rsid w:val="007F292C"/>
    <w:rsid w:val="007F292F"/>
    <w:rsid w:val="007F3451"/>
    <w:rsid w:val="007F3D70"/>
    <w:rsid w:val="007F4C9C"/>
    <w:rsid w:val="007F5254"/>
    <w:rsid w:val="007F6913"/>
    <w:rsid w:val="007F6A9C"/>
    <w:rsid w:val="007F79E1"/>
    <w:rsid w:val="008002DF"/>
    <w:rsid w:val="00802025"/>
    <w:rsid w:val="00803FBF"/>
    <w:rsid w:val="00804553"/>
    <w:rsid w:val="00804598"/>
    <w:rsid w:val="00804FEC"/>
    <w:rsid w:val="00805A93"/>
    <w:rsid w:val="00806458"/>
    <w:rsid w:val="00806E17"/>
    <w:rsid w:val="00810333"/>
    <w:rsid w:val="00810A2A"/>
    <w:rsid w:val="00811058"/>
    <w:rsid w:val="00813DC4"/>
    <w:rsid w:val="0081411E"/>
    <w:rsid w:val="00815793"/>
    <w:rsid w:val="0081601D"/>
    <w:rsid w:val="008205F5"/>
    <w:rsid w:val="008207E5"/>
    <w:rsid w:val="00820E00"/>
    <w:rsid w:val="00821D93"/>
    <w:rsid w:val="00822069"/>
    <w:rsid w:val="00823E8A"/>
    <w:rsid w:val="0082718C"/>
    <w:rsid w:val="00827AFA"/>
    <w:rsid w:val="00830D52"/>
    <w:rsid w:val="00832F74"/>
    <w:rsid w:val="00834B13"/>
    <w:rsid w:val="00834C9B"/>
    <w:rsid w:val="00840267"/>
    <w:rsid w:val="00840582"/>
    <w:rsid w:val="008412B0"/>
    <w:rsid w:val="0084157D"/>
    <w:rsid w:val="008432D9"/>
    <w:rsid w:val="00844BD3"/>
    <w:rsid w:val="0084550B"/>
    <w:rsid w:val="0084734F"/>
    <w:rsid w:val="008479F5"/>
    <w:rsid w:val="00850EEF"/>
    <w:rsid w:val="00852F02"/>
    <w:rsid w:val="00856851"/>
    <w:rsid w:val="00856C30"/>
    <w:rsid w:val="00857459"/>
    <w:rsid w:val="0085785F"/>
    <w:rsid w:val="00860AE2"/>
    <w:rsid w:val="00861CE8"/>
    <w:rsid w:val="00864554"/>
    <w:rsid w:val="008712C4"/>
    <w:rsid w:val="00871839"/>
    <w:rsid w:val="00873B6F"/>
    <w:rsid w:val="008765B9"/>
    <w:rsid w:val="008769DE"/>
    <w:rsid w:val="00876A7C"/>
    <w:rsid w:val="00877EB5"/>
    <w:rsid w:val="008803D3"/>
    <w:rsid w:val="00880BA3"/>
    <w:rsid w:val="00883FF8"/>
    <w:rsid w:val="00884FD5"/>
    <w:rsid w:val="008854B0"/>
    <w:rsid w:val="00885E6B"/>
    <w:rsid w:val="0088717D"/>
    <w:rsid w:val="00891C33"/>
    <w:rsid w:val="008922FE"/>
    <w:rsid w:val="00892371"/>
    <w:rsid w:val="008929AD"/>
    <w:rsid w:val="008930F9"/>
    <w:rsid w:val="00894341"/>
    <w:rsid w:val="00894782"/>
    <w:rsid w:val="0089479C"/>
    <w:rsid w:val="00895068"/>
    <w:rsid w:val="00896CBD"/>
    <w:rsid w:val="0089715F"/>
    <w:rsid w:val="008A00F9"/>
    <w:rsid w:val="008A02C1"/>
    <w:rsid w:val="008A0414"/>
    <w:rsid w:val="008A0795"/>
    <w:rsid w:val="008A1264"/>
    <w:rsid w:val="008A76B2"/>
    <w:rsid w:val="008A7937"/>
    <w:rsid w:val="008A7A36"/>
    <w:rsid w:val="008B1A25"/>
    <w:rsid w:val="008B29F2"/>
    <w:rsid w:val="008B2B6F"/>
    <w:rsid w:val="008B403F"/>
    <w:rsid w:val="008B586B"/>
    <w:rsid w:val="008B624D"/>
    <w:rsid w:val="008B6A77"/>
    <w:rsid w:val="008B6CB2"/>
    <w:rsid w:val="008B6FAB"/>
    <w:rsid w:val="008B6FD9"/>
    <w:rsid w:val="008C120F"/>
    <w:rsid w:val="008C1A74"/>
    <w:rsid w:val="008C1B08"/>
    <w:rsid w:val="008C2E15"/>
    <w:rsid w:val="008C2EBC"/>
    <w:rsid w:val="008C6189"/>
    <w:rsid w:val="008C6330"/>
    <w:rsid w:val="008C650F"/>
    <w:rsid w:val="008C777A"/>
    <w:rsid w:val="008C7C98"/>
    <w:rsid w:val="008D13C2"/>
    <w:rsid w:val="008D5278"/>
    <w:rsid w:val="008D5D06"/>
    <w:rsid w:val="008E0482"/>
    <w:rsid w:val="008E0BCF"/>
    <w:rsid w:val="008E0CDD"/>
    <w:rsid w:val="008E190C"/>
    <w:rsid w:val="008E36A7"/>
    <w:rsid w:val="008E3C83"/>
    <w:rsid w:val="008E4583"/>
    <w:rsid w:val="008E6866"/>
    <w:rsid w:val="008E6FE5"/>
    <w:rsid w:val="008E7590"/>
    <w:rsid w:val="008F001D"/>
    <w:rsid w:val="008F1488"/>
    <w:rsid w:val="008F35AB"/>
    <w:rsid w:val="008F43DB"/>
    <w:rsid w:val="008F70E9"/>
    <w:rsid w:val="008F719C"/>
    <w:rsid w:val="008F7384"/>
    <w:rsid w:val="009003AD"/>
    <w:rsid w:val="00901832"/>
    <w:rsid w:val="00902955"/>
    <w:rsid w:val="0090454F"/>
    <w:rsid w:val="009047F4"/>
    <w:rsid w:val="00904A62"/>
    <w:rsid w:val="009053AF"/>
    <w:rsid w:val="00910A6D"/>
    <w:rsid w:val="0091124F"/>
    <w:rsid w:val="0091320F"/>
    <w:rsid w:val="00913219"/>
    <w:rsid w:val="00914601"/>
    <w:rsid w:val="009201D3"/>
    <w:rsid w:val="009205CD"/>
    <w:rsid w:val="009209B2"/>
    <w:rsid w:val="00921E43"/>
    <w:rsid w:val="0092430B"/>
    <w:rsid w:val="0092538E"/>
    <w:rsid w:val="009253AB"/>
    <w:rsid w:val="0092594E"/>
    <w:rsid w:val="00925CC8"/>
    <w:rsid w:val="009261B7"/>
    <w:rsid w:val="009267D8"/>
    <w:rsid w:val="00926E27"/>
    <w:rsid w:val="00927DFA"/>
    <w:rsid w:val="0093150D"/>
    <w:rsid w:val="00931A8D"/>
    <w:rsid w:val="00933EE5"/>
    <w:rsid w:val="00934029"/>
    <w:rsid w:val="00935E45"/>
    <w:rsid w:val="0093669B"/>
    <w:rsid w:val="00936D7C"/>
    <w:rsid w:val="009371EF"/>
    <w:rsid w:val="0094096E"/>
    <w:rsid w:val="00940CBE"/>
    <w:rsid w:val="00940DDF"/>
    <w:rsid w:val="00941212"/>
    <w:rsid w:val="00942062"/>
    <w:rsid w:val="00942676"/>
    <w:rsid w:val="009435DF"/>
    <w:rsid w:val="00943960"/>
    <w:rsid w:val="00943D28"/>
    <w:rsid w:val="00944ADD"/>
    <w:rsid w:val="00945C5F"/>
    <w:rsid w:val="009460A9"/>
    <w:rsid w:val="00946C1F"/>
    <w:rsid w:val="00946E5D"/>
    <w:rsid w:val="009472CB"/>
    <w:rsid w:val="009472CD"/>
    <w:rsid w:val="00950C0C"/>
    <w:rsid w:val="00951181"/>
    <w:rsid w:val="009512E8"/>
    <w:rsid w:val="00952262"/>
    <w:rsid w:val="00952609"/>
    <w:rsid w:val="0095321F"/>
    <w:rsid w:val="00953936"/>
    <w:rsid w:val="00955204"/>
    <w:rsid w:val="0095643E"/>
    <w:rsid w:val="00956749"/>
    <w:rsid w:val="00956D4C"/>
    <w:rsid w:val="00956D4E"/>
    <w:rsid w:val="00960A76"/>
    <w:rsid w:val="00960FE3"/>
    <w:rsid w:val="00961986"/>
    <w:rsid w:val="00963113"/>
    <w:rsid w:val="00963866"/>
    <w:rsid w:val="00964119"/>
    <w:rsid w:val="00965B8F"/>
    <w:rsid w:val="00965D38"/>
    <w:rsid w:val="00967629"/>
    <w:rsid w:val="00967EDF"/>
    <w:rsid w:val="00971377"/>
    <w:rsid w:val="009726B0"/>
    <w:rsid w:val="00972E5A"/>
    <w:rsid w:val="00974379"/>
    <w:rsid w:val="00975984"/>
    <w:rsid w:val="00977803"/>
    <w:rsid w:val="00977B54"/>
    <w:rsid w:val="00980ACD"/>
    <w:rsid w:val="00981A69"/>
    <w:rsid w:val="00981CD1"/>
    <w:rsid w:val="00982197"/>
    <w:rsid w:val="00982F81"/>
    <w:rsid w:val="00983D7F"/>
    <w:rsid w:val="00985037"/>
    <w:rsid w:val="00986F17"/>
    <w:rsid w:val="00987614"/>
    <w:rsid w:val="009877CE"/>
    <w:rsid w:val="009902F2"/>
    <w:rsid w:val="0099364B"/>
    <w:rsid w:val="009941D8"/>
    <w:rsid w:val="0099562B"/>
    <w:rsid w:val="00995995"/>
    <w:rsid w:val="00995AE3"/>
    <w:rsid w:val="00996A15"/>
    <w:rsid w:val="0099711E"/>
    <w:rsid w:val="009A1E79"/>
    <w:rsid w:val="009A395B"/>
    <w:rsid w:val="009A4220"/>
    <w:rsid w:val="009A4CF1"/>
    <w:rsid w:val="009A7132"/>
    <w:rsid w:val="009B0226"/>
    <w:rsid w:val="009B0B7D"/>
    <w:rsid w:val="009B0E94"/>
    <w:rsid w:val="009B13A4"/>
    <w:rsid w:val="009B13A5"/>
    <w:rsid w:val="009B231F"/>
    <w:rsid w:val="009B2620"/>
    <w:rsid w:val="009B3317"/>
    <w:rsid w:val="009B40E4"/>
    <w:rsid w:val="009B4519"/>
    <w:rsid w:val="009C0540"/>
    <w:rsid w:val="009C0C2E"/>
    <w:rsid w:val="009C1507"/>
    <w:rsid w:val="009C4A70"/>
    <w:rsid w:val="009D0498"/>
    <w:rsid w:val="009D0789"/>
    <w:rsid w:val="009D0ABE"/>
    <w:rsid w:val="009D2959"/>
    <w:rsid w:val="009D2CAB"/>
    <w:rsid w:val="009D2E69"/>
    <w:rsid w:val="009D2FE6"/>
    <w:rsid w:val="009D343F"/>
    <w:rsid w:val="009D3647"/>
    <w:rsid w:val="009D488D"/>
    <w:rsid w:val="009D51C8"/>
    <w:rsid w:val="009D65E3"/>
    <w:rsid w:val="009D6F29"/>
    <w:rsid w:val="009D7897"/>
    <w:rsid w:val="009D78DD"/>
    <w:rsid w:val="009D7BF3"/>
    <w:rsid w:val="009E0737"/>
    <w:rsid w:val="009E08AF"/>
    <w:rsid w:val="009E0C3B"/>
    <w:rsid w:val="009E22F6"/>
    <w:rsid w:val="009E3852"/>
    <w:rsid w:val="009E396C"/>
    <w:rsid w:val="009E43F6"/>
    <w:rsid w:val="009E4D11"/>
    <w:rsid w:val="009E5739"/>
    <w:rsid w:val="009E62E6"/>
    <w:rsid w:val="009E7A70"/>
    <w:rsid w:val="009F1F4B"/>
    <w:rsid w:val="009F3509"/>
    <w:rsid w:val="009F4144"/>
    <w:rsid w:val="009F450E"/>
    <w:rsid w:val="009F48CC"/>
    <w:rsid w:val="009F4DFB"/>
    <w:rsid w:val="009F63AC"/>
    <w:rsid w:val="009F697B"/>
    <w:rsid w:val="009F6BFC"/>
    <w:rsid w:val="00A021ED"/>
    <w:rsid w:val="00A033F7"/>
    <w:rsid w:val="00A03C86"/>
    <w:rsid w:val="00A03E62"/>
    <w:rsid w:val="00A04141"/>
    <w:rsid w:val="00A047E8"/>
    <w:rsid w:val="00A04B92"/>
    <w:rsid w:val="00A051F6"/>
    <w:rsid w:val="00A06896"/>
    <w:rsid w:val="00A06A9F"/>
    <w:rsid w:val="00A06BD2"/>
    <w:rsid w:val="00A12126"/>
    <w:rsid w:val="00A1378C"/>
    <w:rsid w:val="00A138A6"/>
    <w:rsid w:val="00A139AB"/>
    <w:rsid w:val="00A14D66"/>
    <w:rsid w:val="00A15B55"/>
    <w:rsid w:val="00A17533"/>
    <w:rsid w:val="00A202BA"/>
    <w:rsid w:val="00A202C0"/>
    <w:rsid w:val="00A20882"/>
    <w:rsid w:val="00A214CB"/>
    <w:rsid w:val="00A217EC"/>
    <w:rsid w:val="00A218D2"/>
    <w:rsid w:val="00A22468"/>
    <w:rsid w:val="00A22515"/>
    <w:rsid w:val="00A22C8A"/>
    <w:rsid w:val="00A23C08"/>
    <w:rsid w:val="00A24B98"/>
    <w:rsid w:val="00A24C6E"/>
    <w:rsid w:val="00A2550F"/>
    <w:rsid w:val="00A25656"/>
    <w:rsid w:val="00A2623E"/>
    <w:rsid w:val="00A26A7F"/>
    <w:rsid w:val="00A26A8F"/>
    <w:rsid w:val="00A27374"/>
    <w:rsid w:val="00A275EA"/>
    <w:rsid w:val="00A3009E"/>
    <w:rsid w:val="00A30A8A"/>
    <w:rsid w:val="00A32722"/>
    <w:rsid w:val="00A32A32"/>
    <w:rsid w:val="00A33180"/>
    <w:rsid w:val="00A3396E"/>
    <w:rsid w:val="00A33E1F"/>
    <w:rsid w:val="00A3451C"/>
    <w:rsid w:val="00A3469A"/>
    <w:rsid w:val="00A35AB9"/>
    <w:rsid w:val="00A360C4"/>
    <w:rsid w:val="00A36354"/>
    <w:rsid w:val="00A364DB"/>
    <w:rsid w:val="00A375DF"/>
    <w:rsid w:val="00A40447"/>
    <w:rsid w:val="00A40557"/>
    <w:rsid w:val="00A41481"/>
    <w:rsid w:val="00A417BD"/>
    <w:rsid w:val="00A42C7E"/>
    <w:rsid w:val="00A433C1"/>
    <w:rsid w:val="00A43D4A"/>
    <w:rsid w:val="00A44999"/>
    <w:rsid w:val="00A461C9"/>
    <w:rsid w:val="00A473A6"/>
    <w:rsid w:val="00A50461"/>
    <w:rsid w:val="00A508A6"/>
    <w:rsid w:val="00A508C8"/>
    <w:rsid w:val="00A51222"/>
    <w:rsid w:val="00A51697"/>
    <w:rsid w:val="00A526C0"/>
    <w:rsid w:val="00A53932"/>
    <w:rsid w:val="00A53DCD"/>
    <w:rsid w:val="00A53F40"/>
    <w:rsid w:val="00A54237"/>
    <w:rsid w:val="00A5598E"/>
    <w:rsid w:val="00A55C8F"/>
    <w:rsid w:val="00A5611A"/>
    <w:rsid w:val="00A576AC"/>
    <w:rsid w:val="00A601D0"/>
    <w:rsid w:val="00A603E3"/>
    <w:rsid w:val="00A61E65"/>
    <w:rsid w:val="00A6253D"/>
    <w:rsid w:val="00A64362"/>
    <w:rsid w:val="00A650A1"/>
    <w:rsid w:val="00A656DD"/>
    <w:rsid w:val="00A6643C"/>
    <w:rsid w:val="00A67347"/>
    <w:rsid w:val="00A7181B"/>
    <w:rsid w:val="00A72394"/>
    <w:rsid w:val="00A73DFB"/>
    <w:rsid w:val="00A74821"/>
    <w:rsid w:val="00A75829"/>
    <w:rsid w:val="00A765BA"/>
    <w:rsid w:val="00A7664B"/>
    <w:rsid w:val="00A76F48"/>
    <w:rsid w:val="00A774D8"/>
    <w:rsid w:val="00A775C3"/>
    <w:rsid w:val="00A816C8"/>
    <w:rsid w:val="00A81F32"/>
    <w:rsid w:val="00A824D8"/>
    <w:rsid w:val="00A82B04"/>
    <w:rsid w:val="00A8447B"/>
    <w:rsid w:val="00A8560F"/>
    <w:rsid w:val="00A8636A"/>
    <w:rsid w:val="00A86B38"/>
    <w:rsid w:val="00A902F4"/>
    <w:rsid w:val="00A90308"/>
    <w:rsid w:val="00A90F98"/>
    <w:rsid w:val="00A912AC"/>
    <w:rsid w:val="00A92A25"/>
    <w:rsid w:val="00A92B79"/>
    <w:rsid w:val="00A946C6"/>
    <w:rsid w:val="00A95608"/>
    <w:rsid w:val="00A95CF2"/>
    <w:rsid w:val="00A96DE5"/>
    <w:rsid w:val="00AA0B6F"/>
    <w:rsid w:val="00AA19A3"/>
    <w:rsid w:val="00AA1D4C"/>
    <w:rsid w:val="00AA24CE"/>
    <w:rsid w:val="00AA3990"/>
    <w:rsid w:val="00AA5483"/>
    <w:rsid w:val="00AA5644"/>
    <w:rsid w:val="00AA5702"/>
    <w:rsid w:val="00AA6AA6"/>
    <w:rsid w:val="00AA7FDE"/>
    <w:rsid w:val="00AB0531"/>
    <w:rsid w:val="00AB23AC"/>
    <w:rsid w:val="00AB310C"/>
    <w:rsid w:val="00AB437B"/>
    <w:rsid w:val="00AB4676"/>
    <w:rsid w:val="00AB69E4"/>
    <w:rsid w:val="00AC006B"/>
    <w:rsid w:val="00AC0A56"/>
    <w:rsid w:val="00AC0BCF"/>
    <w:rsid w:val="00AC1AAB"/>
    <w:rsid w:val="00AC4858"/>
    <w:rsid w:val="00AC63C5"/>
    <w:rsid w:val="00AC6467"/>
    <w:rsid w:val="00AC75E7"/>
    <w:rsid w:val="00AD1C7D"/>
    <w:rsid w:val="00AD1C98"/>
    <w:rsid w:val="00AD1FE6"/>
    <w:rsid w:val="00AD2570"/>
    <w:rsid w:val="00AD2E14"/>
    <w:rsid w:val="00AD31EC"/>
    <w:rsid w:val="00AD363F"/>
    <w:rsid w:val="00AD48F3"/>
    <w:rsid w:val="00AD5565"/>
    <w:rsid w:val="00AD5F4F"/>
    <w:rsid w:val="00AD62E5"/>
    <w:rsid w:val="00AD7188"/>
    <w:rsid w:val="00AE0484"/>
    <w:rsid w:val="00AE0D49"/>
    <w:rsid w:val="00AE190E"/>
    <w:rsid w:val="00AE1F3E"/>
    <w:rsid w:val="00AE3EB5"/>
    <w:rsid w:val="00AE4B9E"/>
    <w:rsid w:val="00AE4F75"/>
    <w:rsid w:val="00AE591F"/>
    <w:rsid w:val="00AE60A8"/>
    <w:rsid w:val="00AE6216"/>
    <w:rsid w:val="00AE6976"/>
    <w:rsid w:val="00AE7C09"/>
    <w:rsid w:val="00AF1123"/>
    <w:rsid w:val="00AF1740"/>
    <w:rsid w:val="00AF2781"/>
    <w:rsid w:val="00AF3CA9"/>
    <w:rsid w:val="00AF689B"/>
    <w:rsid w:val="00AF6B0F"/>
    <w:rsid w:val="00AF6F7B"/>
    <w:rsid w:val="00B012B9"/>
    <w:rsid w:val="00B0135F"/>
    <w:rsid w:val="00B01A52"/>
    <w:rsid w:val="00B02B96"/>
    <w:rsid w:val="00B0339B"/>
    <w:rsid w:val="00B036EF"/>
    <w:rsid w:val="00B04B61"/>
    <w:rsid w:val="00B06F59"/>
    <w:rsid w:val="00B1275B"/>
    <w:rsid w:val="00B13229"/>
    <w:rsid w:val="00B1361A"/>
    <w:rsid w:val="00B13C97"/>
    <w:rsid w:val="00B150D0"/>
    <w:rsid w:val="00B208EC"/>
    <w:rsid w:val="00B22758"/>
    <w:rsid w:val="00B24900"/>
    <w:rsid w:val="00B2556E"/>
    <w:rsid w:val="00B2616C"/>
    <w:rsid w:val="00B26421"/>
    <w:rsid w:val="00B26512"/>
    <w:rsid w:val="00B27ABA"/>
    <w:rsid w:val="00B3175A"/>
    <w:rsid w:val="00B3674E"/>
    <w:rsid w:val="00B37A48"/>
    <w:rsid w:val="00B37A72"/>
    <w:rsid w:val="00B40376"/>
    <w:rsid w:val="00B41CBF"/>
    <w:rsid w:val="00B43A79"/>
    <w:rsid w:val="00B44F7F"/>
    <w:rsid w:val="00B46D31"/>
    <w:rsid w:val="00B47924"/>
    <w:rsid w:val="00B47A66"/>
    <w:rsid w:val="00B50709"/>
    <w:rsid w:val="00B507C5"/>
    <w:rsid w:val="00B50C25"/>
    <w:rsid w:val="00B51BCD"/>
    <w:rsid w:val="00B51CED"/>
    <w:rsid w:val="00B53BAD"/>
    <w:rsid w:val="00B54790"/>
    <w:rsid w:val="00B562F7"/>
    <w:rsid w:val="00B56527"/>
    <w:rsid w:val="00B60CA0"/>
    <w:rsid w:val="00B611CD"/>
    <w:rsid w:val="00B62731"/>
    <w:rsid w:val="00B65988"/>
    <w:rsid w:val="00B66541"/>
    <w:rsid w:val="00B66EC0"/>
    <w:rsid w:val="00B66ED0"/>
    <w:rsid w:val="00B70103"/>
    <w:rsid w:val="00B7017E"/>
    <w:rsid w:val="00B7197A"/>
    <w:rsid w:val="00B74349"/>
    <w:rsid w:val="00B74DC6"/>
    <w:rsid w:val="00B75971"/>
    <w:rsid w:val="00B76F6C"/>
    <w:rsid w:val="00B802EA"/>
    <w:rsid w:val="00B824F3"/>
    <w:rsid w:val="00B83779"/>
    <w:rsid w:val="00B83EC7"/>
    <w:rsid w:val="00B841FA"/>
    <w:rsid w:val="00B85E36"/>
    <w:rsid w:val="00B86A44"/>
    <w:rsid w:val="00B87880"/>
    <w:rsid w:val="00B8798A"/>
    <w:rsid w:val="00B92185"/>
    <w:rsid w:val="00B92D37"/>
    <w:rsid w:val="00B936FD"/>
    <w:rsid w:val="00B9399E"/>
    <w:rsid w:val="00B93A33"/>
    <w:rsid w:val="00B96EDD"/>
    <w:rsid w:val="00BA045D"/>
    <w:rsid w:val="00BA083C"/>
    <w:rsid w:val="00BA13B0"/>
    <w:rsid w:val="00BA13D1"/>
    <w:rsid w:val="00BA22EB"/>
    <w:rsid w:val="00BA2459"/>
    <w:rsid w:val="00BA2FF7"/>
    <w:rsid w:val="00BA4CE9"/>
    <w:rsid w:val="00BA5D5D"/>
    <w:rsid w:val="00BA5ED5"/>
    <w:rsid w:val="00BA7A64"/>
    <w:rsid w:val="00BB15A9"/>
    <w:rsid w:val="00BB5039"/>
    <w:rsid w:val="00BB51BD"/>
    <w:rsid w:val="00BB583F"/>
    <w:rsid w:val="00BB5C5F"/>
    <w:rsid w:val="00BB6D05"/>
    <w:rsid w:val="00BC0EF5"/>
    <w:rsid w:val="00BC2905"/>
    <w:rsid w:val="00BC2C8B"/>
    <w:rsid w:val="00BC3315"/>
    <w:rsid w:val="00BC372D"/>
    <w:rsid w:val="00BC51CF"/>
    <w:rsid w:val="00BC55F8"/>
    <w:rsid w:val="00BD0111"/>
    <w:rsid w:val="00BD07A7"/>
    <w:rsid w:val="00BD11E1"/>
    <w:rsid w:val="00BD1B13"/>
    <w:rsid w:val="00BD216C"/>
    <w:rsid w:val="00BD3558"/>
    <w:rsid w:val="00BD461A"/>
    <w:rsid w:val="00BD46DB"/>
    <w:rsid w:val="00BD5007"/>
    <w:rsid w:val="00BD5527"/>
    <w:rsid w:val="00BD5AD6"/>
    <w:rsid w:val="00BD6312"/>
    <w:rsid w:val="00BD636C"/>
    <w:rsid w:val="00BD7C9C"/>
    <w:rsid w:val="00BE1B2B"/>
    <w:rsid w:val="00BE2F8B"/>
    <w:rsid w:val="00BE46DF"/>
    <w:rsid w:val="00BE541A"/>
    <w:rsid w:val="00BE56AE"/>
    <w:rsid w:val="00BE59C6"/>
    <w:rsid w:val="00BE5C97"/>
    <w:rsid w:val="00BE6760"/>
    <w:rsid w:val="00BE6847"/>
    <w:rsid w:val="00BE6C58"/>
    <w:rsid w:val="00BF0451"/>
    <w:rsid w:val="00BF11CF"/>
    <w:rsid w:val="00BF254C"/>
    <w:rsid w:val="00BF2922"/>
    <w:rsid w:val="00C02451"/>
    <w:rsid w:val="00C0277F"/>
    <w:rsid w:val="00C02F9E"/>
    <w:rsid w:val="00C033DC"/>
    <w:rsid w:val="00C0408D"/>
    <w:rsid w:val="00C0461B"/>
    <w:rsid w:val="00C05A06"/>
    <w:rsid w:val="00C062BC"/>
    <w:rsid w:val="00C07259"/>
    <w:rsid w:val="00C07D82"/>
    <w:rsid w:val="00C106C8"/>
    <w:rsid w:val="00C1131C"/>
    <w:rsid w:val="00C1350E"/>
    <w:rsid w:val="00C1577C"/>
    <w:rsid w:val="00C16C3D"/>
    <w:rsid w:val="00C1762A"/>
    <w:rsid w:val="00C205EC"/>
    <w:rsid w:val="00C23A06"/>
    <w:rsid w:val="00C248F9"/>
    <w:rsid w:val="00C2694A"/>
    <w:rsid w:val="00C26B31"/>
    <w:rsid w:val="00C27B2D"/>
    <w:rsid w:val="00C30898"/>
    <w:rsid w:val="00C31BE1"/>
    <w:rsid w:val="00C31E23"/>
    <w:rsid w:val="00C31F8F"/>
    <w:rsid w:val="00C32880"/>
    <w:rsid w:val="00C33009"/>
    <w:rsid w:val="00C330DF"/>
    <w:rsid w:val="00C332D3"/>
    <w:rsid w:val="00C3384B"/>
    <w:rsid w:val="00C33F1E"/>
    <w:rsid w:val="00C35292"/>
    <w:rsid w:val="00C357E1"/>
    <w:rsid w:val="00C36E2E"/>
    <w:rsid w:val="00C4055C"/>
    <w:rsid w:val="00C41883"/>
    <w:rsid w:val="00C41F4B"/>
    <w:rsid w:val="00C42E54"/>
    <w:rsid w:val="00C450D8"/>
    <w:rsid w:val="00C46158"/>
    <w:rsid w:val="00C4657E"/>
    <w:rsid w:val="00C47BC8"/>
    <w:rsid w:val="00C5030C"/>
    <w:rsid w:val="00C50F8B"/>
    <w:rsid w:val="00C51B3F"/>
    <w:rsid w:val="00C5441F"/>
    <w:rsid w:val="00C54539"/>
    <w:rsid w:val="00C547DB"/>
    <w:rsid w:val="00C548E4"/>
    <w:rsid w:val="00C60139"/>
    <w:rsid w:val="00C60AAB"/>
    <w:rsid w:val="00C64AE7"/>
    <w:rsid w:val="00C655D6"/>
    <w:rsid w:val="00C65F75"/>
    <w:rsid w:val="00C6681C"/>
    <w:rsid w:val="00C67777"/>
    <w:rsid w:val="00C704CA"/>
    <w:rsid w:val="00C71232"/>
    <w:rsid w:val="00C71701"/>
    <w:rsid w:val="00C732C0"/>
    <w:rsid w:val="00C73C5D"/>
    <w:rsid w:val="00C746FD"/>
    <w:rsid w:val="00C77205"/>
    <w:rsid w:val="00C77966"/>
    <w:rsid w:val="00C77C28"/>
    <w:rsid w:val="00C77FF3"/>
    <w:rsid w:val="00C82B82"/>
    <w:rsid w:val="00C83103"/>
    <w:rsid w:val="00C8311D"/>
    <w:rsid w:val="00C85B68"/>
    <w:rsid w:val="00C90D50"/>
    <w:rsid w:val="00C910E0"/>
    <w:rsid w:val="00C9219A"/>
    <w:rsid w:val="00C937F3"/>
    <w:rsid w:val="00C949C4"/>
    <w:rsid w:val="00CA010F"/>
    <w:rsid w:val="00CA0774"/>
    <w:rsid w:val="00CA0CAB"/>
    <w:rsid w:val="00CA0DE1"/>
    <w:rsid w:val="00CA12B8"/>
    <w:rsid w:val="00CA2F69"/>
    <w:rsid w:val="00CA349C"/>
    <w:rsid w:val="00CA36AC"/>
    <w:rsid w:val="00CA702E"/>
    <w:rsid w:val="00CB0C0D"/>
    <w:rsid w:val="00CB1C21"/>
    <w:rsid w:val="00CB1C51"/>
    <w:rsid w:val="00CB2163"/>
    <w:rsid w:val="00CB36AA"/>
    <w:rsid w:val="00CB3742"/>
    <w:rsid w:val="00CB617D"/>
    <w:rsid w:val="00CB7C04"/>
    <w:rsid w:val="00CC0C5E"/>
    <w:rsid w:val="00CC1995"/>
    <w:rsid w:val="00CC1EF8"/>
    <w:rsid w:val="00CC2137"/>
    <w:rsid w:val="00CC324E"/>
    <w:rsid w:val="00CC403F"/>
    <w:rsid w:val="00CC40B2"/>
    <w:rsid w:val="00CC4393"/>
    <w:rsid w:val="00CC4C8E"/>
    <w:rsid w:val="00CC54F9"/>
    <w:rsid w:val="00CC5962"/>
    <w:rsid w:val="00CC67DA"/>
    <w:rsid w:val="00CC71A9"/>
    <w:rsid w:val="00CD06A2"/>
    <w:rsid w:val="00CD1316"/>
    <w:rsid w:val="00CD1537"/>
    <w:rsid w:val="00CD171E"/>
    <w:rsid w:val="00CD210B"/>
    <w:rsid w:val="00CD22F5"/>
    <w:rsid w:val="00CD3700"/>
    <w:rsid w:val="00CD4132"/>
    <w:rsid w:val="00CD4BDE"/>
    <w:rsid w:val="00CD7A72"/>
    <w:rsid w:val="00CE04C6"/>
    <w:rsid w:val="00CE09BE"/>
    <w:rsid w:val="00CE340C"/>
    <w:rsid w:val="00CE4F4F"/>
    <w:rsid w:val="00CE5075"/>
    <w:rsid w:val="00CE5186"/>
    <w:rsid w:val="00CE5641"/>
    <w:rsid w:val="00CE5F18"/>
    <w:rsid w:val="00CE6220"/>
    <w:rsid w:val="00CE7624"/>
    <w:rsid w:val="00CF076F"/>
    <w:rsid w:val="00CF2068"/>
    <w:rsid w:val="00CF23DD"/>
    <w:rsid w:val="00CF28F7"/>
    <w:rsid w:val="00CF2919"/>
    <w:rsid w:val="00CF2B4F"/>
    <w:rsid w:val="00CF2F71"/>
    <w:rsid w:val="00CF3B07"/>
    <w:rsid w:val="00CF3F6B"/>
    <w:rsid w:val="00CF454A"/>
    <w:rsid w:val="00CF4F55"/>
    <w:rsid w:val="00CF652E"/>
    <w:rsid w:val="00CF6AC7"/>
    <w:rsid w:val="00CF7C84"/>
    <w:rsid w:val="00D00161"/>
    <w:rsid w:val="00D027E6"/>
    <w:rsid w:val="00D03D4D"/>
    <w:rsid w:val="00D03EA0"/>
    <w:rsid w:val="00D045EE"/>
    <w:rsid w:val="00D04955"/>
    <w:rsid w:val="00D06062"/>
    <w:rsid w:val="00D06695"/>
    <w:rsid w:val="00D071A3"/>
    <w:rsid w:val="00D07783"/>
    <w:rsid w:val="00D10D22"/>
    <w:rsid w:val="00D11728"/>
    <w:rsid w:val="00D15847"/>
    <w:rsid w:val="00D17864"/>
    <w:rsid w:val="00D17C11"/>
    <w:rsid w:val="00D2016C"/>
    <w:rsid w:val="00D20B09"/>
    <w:rsid w:val="00D23FBE"/>
    <w:rsid w:val="00D24AE2"/>
    <w:rsid w:val="00D279F6"/>
    <w:rsid w:val="00D27E0D"/>
    <w:rsid w:val="00D33099"/>
    <w:rsid w:val="00D345B4"/>
    <w:rsid w:val="00D35397"/>
    <w:rsid w:val="00D372AC"/>
    <w:rsid w:val="00D412A7"/>
    <w:rsid w:val="00D41AF5"/>
    <w:rsid w:val="00D443B8"/>
    <w:rsid w:val="00D449DE"/>
    <w:rsid w:val="00D45940"/>
    <w:rsid w:val="00D45E58"/>
    <w:rsid w:val="00D468CB"/>
    <w:rsid w:val="00D4714E"/>
    <w:rsid w:val="00D476DF"/>
    <w:rsid w:val="00D47BAB"/>
    <w:rsid w:val="00D5013A"/>
    <w:rsid w:val="00D50D9C"/>
    <w:rsid w:val="00D51045"/>
    <w:rsid w:val="00D51A24"/>
    <w:rsid w:val="00D51BA4"/>
    <w:rsid w:val="00D52060"/>
    <w:rsid w:val="00D5224B"/>
    <w:rsid w:val="00D52931"/>
    <w:rsid w:val="00D534A3"/>
    <w:rsid w:val="00D57072"/>
    <w:rsid w:val="00D608EB"/>
    <w:rsid w:val="00D60C48"/>
    <w:rsid w:val="00D62FC7"/>
    <w:rsid w:val="00D63429"/>
    <w:rsid w:val="00D648D0"/>
    <w:rsid w:val="00D64FDA"/>
    <w:rsid w:val="00D6577C"/>
    <w:rsid w:val="00D660E0"/>
    <w:rsid w:val="00D6706F"/>
    <w:rsid w:val="00D720FF"/>
    <w:rsid w:val="00D7288A"/>
    <w:rsid w:val="00D7336A"/>
    <w:rsid w:val="00D74E77"/>
    <w:rsid w:val="00D750B0"/>
    <w:rsid w:val="00D75276"/>
    <w:rsid w:val="00D76AFB"/>
    <w:rsid w:val="00D81501"/>
    <w:rsid w:val="00D81712"/>
    <w:rsid w:val="00D8264F"/>
    <w:rsid w:val="00D82915"/>
    <w:rsid w:val="00D8332D"/>
    <w:rsid w:val="00D84C4B"/>
    <w:rsid w:val="00D85C07"/>
    <w:rsid w:val="00D86A50"/>
    <w:rsid w:val="00D86B8A"/>
    <w:rsid w:val="00D911C5"/>
    <w:rsid w:val="00D91494"/>
    <w:rsid w:val="00D91702"/>
    <w:rsid w:val="00D9203D"/>
    <w:rsid w:val="00D928CC"/>
    <w:rsid w:val="00D94DD1"/>
    <w:rsid w:val="00D9585A"/>
    <w:rsid w:val="00D95CCC"/>
    <w:rsid w:val="00D96E63"/>
    <w:rsid w:val="00D9709D"/>
    <w:rsid w:val="00DA1BE1"/>
    <w:rsid w:val="00DA1C8B"/>
    <w:rsid w:val="00DA2FF1"/>
    <w:rsid w:val="00DA3CD4"/>
    <w:rsid w:val="00DA3D34"/>
    <w:rsid w:val="00DA4B44"/>
    <w:rsid w:val="00DA65D9"/>
    <w:rsid w:val="00DA65E4"/>
    <w:rsid w:val="00DB09FE"/>
    <w:rsid w:val="00DB0AE2"/>
    <w:rsid w:val="00DB0AEF"/>
    <w:rsid w:val="00DB150C"/>
    <w:rsid w:val="00DB2574"/>
    <w:rsid w:val="00DB4BBE"/>
    <w:rsid w:val="00DB725A"/>
    <w:rsid w:val="00DC1A9C"/>
    <w:rsid w:val="00DC2234"/>
    <w:rsid w:val="00DC2FDC"/>
    <w:rsid w:val="00DC3246"/>
    <w:rsid w:val="00DC39FB"/>
    <w:rsid w:val="00DC478B"/>
    <w:rsid w:val="00DC50BD"/>
    <w:rsid w:val="00DC6496"/>
    <w:rsid w:val="00DC6832"/>
    <w:rsid w:val="00DC6DF9"/>
    <w:rsid w:val="00DC7725"/>
    <w:rsid w:val="00DD0951"/>
    <w:rsid w:val="00DD1EE7"/>
    <w:rsid w:val="00DD2526"/>
    <w:rsid w:val="00DD2AF4"/>
    <w:rsid w:val="00DD2C1F"/>
    <w:rsid w:val="00DD42E6"/>
    <w:rsid w:val="00DD611C"/>
    <w:rsid w:val="00DD642F"/>
    <w:rsid w:val="00DD69BA"/>
    <w:rsid w:val="00DE0763"/>
    <w:rsid w:val="00DE1233"/>
    <w:rsid w:val="00DE1B9B"/>
    <w:rsid w:val="00DE3042"/>
    <w:rsid w:val="00DE361B"/>
    <w:rsid w:val="00DE42DF"/>
    <w:rsid w:val="00DE4B25"/>
    <w:rsid w:val="00DE4D03"/>
    <w:rsid w:val="00DE50D9"/>
    <w:rsid w:val="00DE52C6"/>
    <w:rsid w:val="00DE6227"/>
    <w:rsid w:val="00DE64A3"/>
    <w:rsid w:val="00DE6D35"/>
    <w:rsid w:val="00DE6F77"/>
    <w:rsid w:val="00DF056E"/>
    <w:rsid w:val="00DF05B3"/>
    <w:rsid w:val="00DF2B27"/>
    <w:rsid w:val="00DF3171"/>
    <w:rsid w:val="00DF48B6"/>
    <w:rsid w:val="00DF577C"/>
    <w:rsid w:val="00DF7AAA"/>
    <w:rsid w:val="00E0003E"/>
    <w:rsid w:val="00E02905"/>
    <w:rsid w:val="00E034BB"/>
    <w:rsid w:val="00E06799"/>
    <w:rsid w:val="00E07D08"/>
    <w:rsid w:val="00E103C5"/>
    <w:rsid w:val="00E10986"/>
    <w:rsid w:val="00E11F8C"/>
    <w:rsid w:val="00E122B3"/>
    <w:rsid w:val="00E12DDC"/>
    <w:rsid w:val="00E14AF4"/>
    <w:rsid w:val="00E157E8"/>
    <w:rsid w:val="00E15B43"/>
    <w:rsid w:val="00E16548"/>
    <w:rsid w:val="00E17A35"/>
    <w:rsid w:val="00E17A50"/>
    <w:rsid w:val="00E17E71"/>
    <w:rsid w:val="00E248E0"/>
    <w:rsid w:val="00E26A53"/>
    <w:rsid w:val="00E31DF5"/>
    <w:rsid w:val="00E32457"/>
    <w:rsid w:val="00E339AA"/>
    <w:rsid w:val="00E34DEA"/>
    <w:rsid w:val="00E35624"/>
    <w:rsid w:val="00E35688"/>
    <w:rsid w:val="00E356F2"/>
    <w:rsid w:val="00E37B35"/>
    <w:rsid w:val="00E37C16"/>
    <w:rsid w:val="00E37F99"/>
    <w:rsid w:val="00E403FD"/>
    <w:rsid w:val="00E41273"/>
    <w:rsid w:val="00E4186B"/>
    <w:rsid w:val="00E45319"/>
    <w:rsid w:val="00E45602"/>
    <w:rsid w:val="00E45D8B"/>
    <w:rsid w:val="00E46F95"/>
    <w:rsid w:val="00E476E0"/>
    <w:rsid w:val="00E50166"/>
    <w:rsid w:val="00E50532"/>
    <w:rsid w:val="00E50864"/>
    <w:rsid w:val="00E51E94"/>
    <w:rsid w:val="00E534EE"/>
    <w:rsid w:val="00E535CF"/>
    <w:rsid w:val="00E537AE"/>
    <w:rsid w:val="00E53A69"/>
    <w:rsid w:val="00E54276"/>
    <w:rsid w:val="00E553B5"/>
    <w:rsid w:val="00E5576F"/>
    <w:rsid w:val="00E55BE8"/>
    <w:rsid w:val="00E5797E"/>
    <w:rsid w:val="00E57EB9"/>
    <w:rsid w:val="00E60480"/>
    <w:rsid w:val="00E623A7"/>
    <w:rsid w:val="00E6252D"/>
    <w:rsid w:val="00E62E14"/>
    <w:rsid w:val="00E63601"/>
    <w:rsid w:val="00E6404A"/>
    <w:rsid w:val="00E64E39"/>
    <w:rsid w:val="00E6611C"/>
    <w:rsid w:val="00E701D6"/>
    <w:rsid w:val="00E70CF1"/>
    <w:rsid w:val="00E71F10"/>
    <w:rsid w:val="00E7273C"/>
    <w:rsid w:val="00E729DD"/>
    <w:rsid w:val="00E75801"/>
    <w:rsid w:val="00E75B3C"/>
    <w:rsid w:val="00E76643"/>
    <w:rsid w:val="00E7695F"/>
    <w:rsid w:val="00E774A2"/>
    <w:rsid w:val="00E774EF"/>
    <w:rsid w:val="00E776A1"/>
    <w:rsid w:val="00E8034D"/>
    <w:rsid w:val="00E80493"/>
    <w:rsid w:val="00E821AD"/>
    <w:rsid w:val="00E829AE"/>
    <w:rsid w:val="00E82ACD"/>
    <w:rsid w:val="00E82BEF"/>
    <w:rsid w:val="00E82E0F"/>
    <w:rsid w:val="00E83230"/>
    <w:rsid w:val="00E83908"/>
    <w:rsid w:val="00E857E1"/>
    <w:rsid w:val="00E85D47"/>
    <w:rsid w:val="00E8614C"/>
    <w:rsid w:val="00E86550"/>
    <w:rsid w:val="00E866BF"/>
    <w:rsid w:val="00E90416"/>
    <w:rsid w:val="00E9204B"/>
    <w:rsid w:val="00E92DA4"/>
    <w:rsid w:val="00E92E7D"/>
    <w:rsid w:val="00E93372"/>
    <w:rsid w:val="00E934A7"/>
    <w:rsid w:val="00E9358C"/>
    <w:rsid w:val="00E93E08"/>
    <w:rsid w:val="00E971FF"/>
    <w:rsid w:val="00EA0014"/>
    <w:rsid w:val="00EA0057"/>
    <w:rsid w:val="00EA0374"/>
    <w:rsid w:val="00EA0EE8"/>
    <w:rsid w:val="00EA60E7"/>
    <w:rsid w:val="00EA6A52"/>
    <w:rsid w:val="00EB003D"/>
    <w:rsid w:val="00EB1AB4"/>
    <w:rsid w:val="00EB1CBA"/>
    <w:rsid w:val="00EB23C8"/>
    <w:rsid w:val="00EB270D"/>
    <w:rsid w:val="00EB3BA8"/>
    <w:rsid w:val="00EB44BC"/>
    <w:rsid w:val="00EB484E"/>
    <w:rsid w:val="00EB4D88"/>
    <w:rsid w:val="00EB5548"/>
    <w:rsid w:val="00EB5700"/>
    <w:rsid w:val="00EB60A1"/>
    <w:rsid w:val="00EB619D"/>
    <w:rsid w:val="00EB74FE"/>
    <w:rsid w:val="00EC1591"/>
    <w:rsid w:val="00EC1D74"/>
    <w:rsid w:val="00EC2BB5"/>
    <w:rsid w:val="00EC58B1"/>
    <w:rsid w:val="00EC5D3C"/>
    <w:rsid w:val="00EC5F96"/>
    <w:rsid w:val="00EC641B"/>
    <w:rsid w:val="00ED0918"/>
    <w:rsid w:val="00ED0F5C"/>
    <w:rsid w:val="00ED1361"/>
    <w:rsid w:val="00ED13BB"/>
    <w:rsid w:val="00ED1940"/>
    <w:rsid w:val="00ED3882"/>
    <w:rsid w:val="00ED3D8E"/>
    <w:rsid w:val="00ED4450"/>
    <w:rsid w:val="00ED5724"/>
    <w:rsid w:val="00ED62FA"/>
    <w:rsid w:val="00EE1F6D"/>
    <w:rsid w:val="00EE200D"/>
    <w:rsid w:val="00EE2690"/>
    <w:rsid w:val="00EE2DE0"/>
    <w:rsid w:val="00EE384B"/>
    <w:rsid w:val="00EE3FD5"/>
    <w:rsid w:val="00EE4063"/>
    <w:rsid w:val="00EE40A5"/>
    <w:rsid w:val="00EE484F"/>
    <w:rsid w:val="00EE6DC8"/>
    <w:rsid w:val="00EF0539"/>
    <w:rsid w:val="00EF091C"/>
    <w:rsid w:val="00EF3CC0"/>
    <w:rsid w:val="00EF4E61"/>
    <w:rsid w:val="00EF623F"/>
    <w:rsid w:val="00EF6929"/>
    <w:rsid w:val="00F00E46"/>
    <w:rsid w:val="00F013EA"/>
    <w:rsid w:val="00F031BE"/>
    <w:rsid w:val="00F03AA8"/>
    <w:rsid w:val="00F03D2C"/>
    <w:rsid w:val="00F0495F"/>
    <w:rsid w:val="00F04FD6"/>
    <w:rsid w:val="00F05FD2"/>
    <w:rsid w:val="00F064AA"/>
    <w:rsid w:val="00F06B63"/>
    <w:rsid w:val="00F07776"/>
    <w:rsid w:val="00F078A5"/>
    <w:rsid w:val="00F10100"/>
    <w:rsid w:val="00F1082C"/>
    <w:rsid w:val="00F10D87"/>
    <w:rsid w:val="00F10FA6"/>
    <w:rsid w:val="00F11F90"/>
    <w:rsid w:val="00F12388"/>
    <w:rsid w:val="00F12706"/>
    <w:rsid w:val="00F12E4F"/>
    <w:rsid w:val="00F145DF"/>
    <w:rsid w:val="00F21253"/>
    <w:rsid w:val="00F2232B"/>
    <w:rsid w:val="00F2311C"/>
    <w:rsid w:val="00F23496"/>
    <w:rsid w:val="00F244AB"/>
    <w:rsid w:val="00F248C5"/>
    <w:rsid w:val="00F26288"/>
    <w:rsid w:val="00F26673"/>
    <w:rsid w:val="00F26F68"/>
    <w:rsid w:val="00F2780D"/>
    <w:rsid w:val="00F3012D"/>
    <w:rsid w:val="00F302E9"/>
    <w:rsid w:val="00F32606"/>
    <w:rsid w:val="00F357CC"/>
    <w:rsid w:val="00F37B42"/>
    <w:rsid w:val="00F40481"/>
    <w:rsid w:val="00F41AB1"/>
    <w:rsid w:val="00F423E6"/>
    <w:rsid w:val="00F43216"/>
    <w:rsid w:val="00F44115"/>
    <w:rsid w:val="00F449FA"/>
    <w:rsid w:val="00F45725"/>
    <w:rsid w:val="00F462AA"/>
    <w:rsid w:val="00F46D08"/>
    <w:rsid w:val="00F507EB"/>
    <w:rsid w:val="00F50ECC"/>
    <w:rsid w:val="00F519ED"/>
    <w:rsid w:val="00F535D6"/>
    <w:rsid w:val="00F54A5A"/>
    <w:rsid w:val="00F55F9F"/>
    <w:rsid w:val="00F605A9"/>
    <w:rsid w:val="00F6213D"/>
    <w:rsid w:val="00F625C9"/>
    <w:rsid w:val="00F62CB3"/>
    <w:rsid w:val="00F62E14"/>
    <w:rsid w:val="00F630FB"/>
    <w:rsid w:val="00F65BBA"/>
    <w:rsid w:val="00F667E6"/>
    <w:rsid w:val="00F67A18"/>
    <w:rsid w:val="00F7090D"/>
    <w:rsid w:val="00F7287F"/>
    <w:rsid w:val="00F72AA8"/>
    <w:rsid w:val="00F72F47"/>
    <w:rsid w:val="00F7381E"/>
    <w:rsid w:val="00F74195"/>
    <w:rsid w:val="00F7431F"/>
    <w:rsid w:val="00F74D0F"/>
    <w:rsid w:val="00F75356"/>
    <w:rsid w:val="00F7581F"/>
    <w:rsid w:val="00F7621D"/>
    <w:rsid w:val="00F7635F"/>
    <w:rsid w:val="00F7794B"/>
    <w:rsid w:val="00F819BC"/>
    <w:rsid w:val="00F81E8C"/>
    <w:rsid w:val="00F83234"/>
    <w:rsid w:val="00F8613D"/>
    <w:rsid w:val="00F86562"/>
    <w:rsid w:val="00F86950"/>
    <w:rsid w:val="00F900E7"/>
    <w:rsid w:val="00F9380F"/>
    <w:rsid w:val="00F945BA"/>
    <w:rsid w:val="00F94C49"/>
    <w:rsid w:val="00F95334"/>
    <w:rsid w:val="00F962DC"/>
    <w:rsid w:val="00F96E36"/>
    <w:rsid w:val="00F97230"/>
    <w:rsid w:val="00F97D4B"/>
    <w:rsid w:val="00FA178D"/>
    <w:rsid w:val="00FA1832"/>
    <w:rsid w:val="00FA1CF0"/>
    <w:rsid w:val="00FA1DB6"/>
    <w:rsid w:val="00FA3159"/>
    <w:rsid w:val="00FA4274"/>
    <w:rsid w:val="00FA462B"/>
    <w:rsid w:val="00FA4A0F"/>
    <w:rsid w:val="00FA4F09"/>
    <w:rsid w:val="00FA6794"/>
    <w:rsid w:val="00FA6DE3"/>
    <w:rsid w:val="00FA7CF6"/>
    <w:rsid w:val="00FB11E5"/>
    <w:rsid w:val="00FB19B7"/>
    <w:rsid w:val="00FB1A83"/>
    <w:rsid w:val="00FB2306"/>
    <w:rsid w:val="00FB237F"/>
    <w:rsid w:val="00FB2448"/>
    <w:rsid w:val="00FB275A"/>
    <w:rsid w:val="00FB2A7A"/>
    <w:rsid w:val="00FB2E36"/>
    <w:rsid w:val="00FB5191"/>
    <w:rsid w:val="00FB6F44"/>
    <w:rsid w:val="00FB7F00"/>
    <w:rsid w:val="00FC069A"/>
    <w:rsid w:val="00FC0D72"/>
    <w:rsid w:val="00FC2193"/>
    <w:rsid w:val="00FC3C8D"/>
    <w:rsid w:val="00FC462A"/>
    <w:rsid w:val="00FC6731"/>
    <w:rsid w:val="00FC731E"/>
    <w:rsid w:val="00FD1559"/>
    <w:rsid w:val="00FD48EC"/>
    <w:rsid w:val="00FD53BA"/>
    <w:rsid w:val="00FD7400"/>
    <w:rsid w:val="00FD782B"/>
    <w:rsid w:val="00FE0D30"/>
    <w:rsid w:val="00FE270C"/>
    <w:rsid w:val="00FE2BFA"/>
    <w:rsid w:val="00FE348B"/>
    <w:rsid w:val="00FE39E0"/>
    <w:rsid w:val="00FE3C43"/>
    <w:rsid w:val="00FE4397"/>
    <w:rsid w:val="00FE49AC"/>
    <w:rsid w:val="00FE4DC8"/>
    <w:rsid w:val="00FE5617"/>
    <w:rsid w:val="00FE79A2"/>
    <w:rsid w:val="00FE7D3D"/>
    <w:rsid w:val="00FF03DD"/>
    <w:rsid w:val="00FF13F8"/>
    <w:rsid w:val="00FF1824"/>
    <w:rsid w:val="00FF3329"/>
    <w:rsid w:val="00FF45BA"/>
    <w:rsid w:val="00FF4BA9"/>
    <w:rsid w:val="00FF742C"/>
    <w:rsid w:val="00FF7BBC"/>
    <w:rsid w:val="01981D96"/>
    <w:rsid w:val="01A06E9D"/>
    <w:rsid w:val="028C3EBB"/>
    <w:rsid w:val="02EB2B68"/>
    <w:rsid w:val="034B77D6"/>
    <w:rsid w:val="039D3C19"/>
    <w:rsid w:val="04B85A58"/>
    <w:rsid w:val="053565CE"/>
    <w:rsid w:val="058F3CC0"/>
    <w:rsid w:val="05D91AA8"/>
    <w:rsid w:val="07BD589D"/>
    <w:rsid w:val="07DA4915"/>
    <w:rsid w:val="08B03E69"/>
    <w:rsid w:val="08BE5BF8"/>
    <w:rsid w:val="08DD1FC8"/>
    <w:rsid w:val="094749E0"/>
    <w:rsid w:val="0A875844"/>
    <w:rsid w:val="0A98420B"/>
    <w:rsid w:val="0B4C508C"/>
    <w:rsid w:val="0B8052A0"/>
    <w:rsid w:val="0BC4144B"/>
    <w:rsid w:val="0C1216AC"/>
    <w:rsid w:val="0CF5772A"/>
    <w:rsid w:val="0EED14C0"/>
    <w:rsid w:val="0F822279"/>
    <w:rsid w:val="0FC712FE"/>
    <w:rsid w:val="103178A4"/>
    <w:rsid w:val="10E06E07"/>
    <w:rsid w:val="115D2451"/>
    <w:rsid w:val="117578A9"/>
    <w:rsid w:val="11AD729B"/>
    <w:rsid w:val="11D27AB6"/>
    <w:rsid w:val="12E73B31"/>
    <w:rsid w:val="139C4EB0"/>
    <w:rsid w:val="13BB16AC"/>
    <w:rsid w:val="149A3A6D"/>
    <w:rsid w:val="15011905"/>
    <w:rsid w:val="151960B7"/>
    <w:rsid w:val="1593608D"/>
    <w:rsid w:val="160307EB"/>
    <w:rsid w:val="16146FBD"/>
    <w:rsid w:val="167C68F0"/>
    <w:rsid w:val="172C6C01"/>
    <w:rsid w:val="176E59F3"/>
    <w:rsid w:val="17F6075E"/>
    <w:rsid w:val="187D21A9"/>
    <w:rsid w:val="1959750C"/>
    <w:rsid w:val="196D2FEE"/>
    <w:rsid w:val="1A9248E5"/>
    <w:rsid w:val="1B131BFF"/>
    <w:rsid w:val="1B1C2CC8"/>
    <w:rsid w:val="1B8A1DD5"/>
    <w:rsid w:val="1C015305"/>
    <w:rsid w:val="1CCC104A"/>
    <w:rsid w:val="1CE82EC9"/>
    <w:rsid w:val="1D5D21B3"/>
    <w:rsid w:val="1E907774"/>
    <w:rsid w:val="1EC272A1"/>
    <w:rsid w:val="1FE60593"/>
    <w:rsid w:val="201D5175"/>
    <w:rsid w:val="209E6AA9"/>
    <w:rsid w:val="21A96051"/>
    <w:rsid w:val="22E33545"/>
    <w:rsid w:val="238B2AFD"/>
    <w:rsid w:val="24477D90"/>
    <w:rsid w:val="249E48DA"/>
    <w:rsid w:val="26752E6A"/>
    <w:rsid w:val="27251F7F"/>
    <w:rsid w:val="27E256EA"/>
    <w:rsid w:val="2812313B"/>
    <w:rsid w:val="283E23D1"/>
    <w:rsid w:val="28717098"/>
    <w:rsid w:val="289566DC"/>
    <w:rsid w:val="28BC219F"/>
    <w:rsid w:val="28CB3AEA"/>
    <w:rsid w:val="2C416018"/>
    <w:rsid w:val="2D2B08F0"/>
    <w:rsid w:val="2DA82398"/>
    <w:rsid w:val="2E3F0BEE"/>
    <w:rsid w:val="2E9137F3"/>
    <w:rsid w:val="2FE20FF4"/>
    <w:rsid w:val="2FFC3BC1"/>
    <w:rsid w:val="30446156"/>
    <w:rsid w:val="31B56E3B"/>
    <w:rsid w:val="31C506C3"/>
    <w:rsid w:val="328D71F1"/>
    <w:rsid w:val="33CA029A"/>
    <w:rsid w:val="34023A9D"/>
    <w:rsid w:val="34BC068D"/>
    <w:rsid w:val="378D02C0"/>
    <w:rsid w:val="381C0797"/>
    <w:rsid w:val="38D26E46"/>
    <w:rsid w:val="397632C2"/>
    <w:rsid w:val="39D07AED"/>
    <w:rsid w:val="3AB00B5B"/>
    <w:rsid w:val="3BDB6B8D"/>
    <w:rsid w:val="3D662BA5"/>
    <w:rsid w:val="3D736E0B"/>
    <w:rsid w:val="3DBC1E2B"/>
    <w:rsid w:val="3E4C54E3"/>
    <w:rsid w:val="3EFA4F43"/>
    <w:rsid w:val="3EFC2A3B"/>
    <w:rsid w:val="3EFF1882"/>
    <w:rsid w:val="3FD5628D"/>
    <w:rsid w:val="406E7B8B"/>
    <w:rsid w:val="41632549"/>
    <w:rsid w:val="41822A5A"/>
    <w:rsid w:val="41D72F6C"/>
    <w:rsid w:val="43C03E02"/>
    <w:rsid w:val="44CC63EF"/>
    <w:rsid w:val="459458EF"/>
    <w:rsid w:val="46E50508"/>
    <w:rsid w:val="46F926A6"/>
    <w:rsid w:val="47BE19A8"/>
    <w:rsid w:val="489E4041"/>
    <w:rsid w:val="498D7BCE"/>
    <w:rsid w:val="49C37EA7"/>
    <w:rsid w:val="49D96C4B"/>
    <w:rsid w:val="4A6F2505"/>
    <w:rsid w:val="4ACE1163"/>
    <w:rsid w:val="4D430CA0"/>
    <w:rsid w:val="4F373C61"/>
    <w:rsid w:val="50A6015A"/>
    <w:rsid w:val="513519D1"/>
    <w:rsid w:val="51542485"/>
    <w:rsid w:val="51C905BD"/>
    <w:rsid w:val="522D7A16"/>
    <w:rsid w:val="525613BC"/>
    <w:rsid w:val="52563AC2"/>
    <w:rsid w:val="52707FF2"/>
    <w:rsid w:val="52D06FA6"/>
    <w:rsid w:val="530E6B11"/>
    <w:rsid w:val="53345C35"/>
    <w:rsid w:val="53840DFE"/>
    <w:rsid w:val="544648EE"/>
    <w:rsid w:val="55030AC6"/>
    <w:rsid w:val="56CB4F97"/>
    <w:rsid w:val="56DD185F"/>
    <w:rsid w:val="57C44F9D"/>
    <w:rsid w:val="588B4C00"/>
    <w:rsid w:val="59093CFD"/>
    <w:rsid w:val="5A1C6B9D"/>
    <w:rsid w:val="5B9D37CF"/>
    <w:rsid w:val="5C6B0088"/>
    <w:rsid w:val="5CD821BC"/>
    <w:rsid w:val="5D5853A3"/>
    <w:rsid w:val="5DDD122E"/>
    <w:rsid w:val="5EAE0A28"/>
    <w:rsid w:val="5EC85451"/>
    <w:rsid w:val="5F557619"/>
    <w:rsid w:val="5FE24034"/>
    <w:rsid w:val="60032411"/>
    <w:rsid w:val="602045A6"/>
    <w:rsid w:val="60AB42FB"/>
    <w:rsid w:val="60BD1B4F"/>
    <w:rsid w:val="61EC3334"/>
    <w:rsid w:val="620C2F1B"/>
    <w:rsid w:val="635D3601"/>
    <w:rsid w:val="63C8022E"/>
    <w:rsid w:val="642E1002"/>
    <w:rsid w:val="649369BD"/>
    <w:rsid w:val="65D5701D"/>
    <w:rsid w:val="679B2764"/>
    <w:rsid w:val="67A8712D"/>
    <w:rsid w:val="67C15B3B"/>
    <w:rsid w:val="68785795"/>
    <w:rsid w:val="68C92678"/>
    <w:rsid w:val="68E510B3"/>
    <w:rsid w:val="6BE55658"/>
    <w:rsid w:val="6CAC4477"/>
    <w:rsid w:val="6D167CCA"/>
    <w:rsid w:val="6D633E18"/>
    <w:rsid w:val="6E5C0DE4"/>
    <w:rsid w:val="6F4D0369"/>
    <w:rsid w:val="6FCD21DD"/>
    <w:rsid w:val="70323771"/>
    <w:rsid w:val="704047D7"/>
    <w:rsid w:val="71D46F6C"/>
    <w:rsid w:val="71E0686F"/>
    <w:rsid w:val="71ED7FA6"/>
    <w:rsid w:val="72616F8F"/>
    <w:rsid w:val="72CA757A"/>
    <w:rsid w:val="739F1BEB"/>
    <w:rsid w:val="744B0AC4"/>
    <w:rsid w:val="763F4AEA"/>
    <w:rsid w:val="76E641AD"/>
    <w:rsid w:val="773753AE"/>
    <w:rsid w:val="78382920"/>
    <w:rsid w:val="78395DAD"/>
    <w:rsid w:val="783A5F07"/>
    <w:rsid w:val="79072FDB"/>
    <w:rsid w:val="7AFC5681"/>
    <w:rsid w:val="7C012190"/>
    <w:rsid w:val="7C5C5D14"/>
    <w:rsid w:val="7E59069D"/>
    <w:rsid w:val="7F4E05FD"/>
    <w:rsid w:val="7F95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360" w:lineRule="auto"/>
      <w:jc w:val="center"/>
      <w:outlineLvl w:val="1"/>
    </w:pPr>
    <w:rPr>
      <w:rFonts w:ascii="Arial" w:hAnsi="Arial"/>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paragraph" w:styleId="7">
    <w:name w:val="heading 5"/>
    <w:basedOn w:val="1"/>
    <w:next w:val="1"/>
    <w:qFormat/>
    <w:uiPriority w:val="0"/>
    <w:pPr>
      <w:keepNext/>
      <w:keepLines/>
      <w:spacing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line="360" w:lineRule="auto"/>
      <w:jc w:val="both"/>
    </w:pPr>
    <w:rPr>
      <w:rFonts w:eastAsia="楷体_GB2312"/>
      <w:kern w:val="2"/>
      <w:sz w:val="28"/>
      <w:szCs w:val="20"/>
    </w:rPr>
  </w:style>
  <w:style w:type="paragraph" w:styleId="8">
    <w:name w:val="toc 7"/>
    <w:basedOn w:val="1"/>
    <w:next w:val="1"/>
    <w:qFormat/>
    <w:uiPriority w:val="0"/>
    <w:pPr>
      <w:ind w:left="1440"/>
    </w:pPr>
    <w:rPr>
      <w:rFonts w:ascii="Calibri" w:hAnsi="Calibri"/>
      <w:sz w:val="18"/>
      <w:szCs w:val="18"/>
    </w:rPr>
  </w:style>
  <w:style w:type="paragraph" w:styleId="9">
    <w:name w:val="Normal Indent"/>
    <w:basedOn w:val="1"/>
    <w:next w:val="1"/>
    <w:qFormat/>
    <w:uiPriority w:val="0"/>
    <w:pPr>
      <w:spacing w:line="360" w:lineRule="auto"/>
      <w:ind w:firstLine="420"/>
    </w:pPr>
    <w:rPr>
      <w:rFonts w:ascii="宋体"/>
    </w:rPr>
  </w:style>
  <w:style w:type="paragraph" w:styleId="10">
    <w:name w:val="Document Map"/>
    <w:basedOn w:val="1"/>
    <w:link w:val="40"/>
    <w:qFormat/>
    <w:uiPriority w:val="0"/>
    <w:rPr>
      <w:rFonts w:ascii="宋体"/>
      <w:sz w:val="18"/>
      <w:szCs w:val="18"/>
    </w:rPr>
  </w:style>
  <w:style w:type="paragraph" w:styleId="11">
    <w:name w:val="annotation text"/>
    <w:basedOn w:val="1"/>
    <w:link w:val="41"/>
    <w:qFormat/>
    <w:uiPriority w:val="0"/>
    <w:pPr>
      <w:autoSpaceDE w:val="0"/>
      <w:autoSpaceDN w:val="0"/>
    </w:pPr>
    <w:rPr>
      <w:rFonts w:ascii="宋体" w:hAnsi="宋体"/>
      <w:sz w:val="22"/>
      <w:szCs w:val="22"/>
    </w:rPr>
  </w:style>
  <w:style w:type="paragraph" w:styleId="12">
    <w:name w:val="Body Text 3"/>
    <w:basedOn w:val="1"/>
    <w:qFormat/>
    <w:uiPriority w:val="0"/>
    <w:pPr>
      <w:widowControl w:val="0"/>
      <w:spacing w:after="120"/>
      <w:jc w:val="both"/>
    </w:pPr>
    <w:rPr>
      <w:kern w:val="2"/>
      <w:sz w:val="16"/>
      <w:szCs w:val="16"/>
    </w:rPr>
  </w:style>
  <w:style w:type="paragraph" w:styleId="13">
    <w:name w:val="Body Text Indent"/>
    <w:basedOn w:val="1"/>
    <w:link w:val="42"/>
    <w:qFormat/>
    <w:uiPriority w:val="0"/>
    <w:pPr>
      <w:widowControl w:val="0"/>
      <w:ind w:left="570" w:firstLine="510"/>
      <w:jc w:val="both"/>
    </w:pPr>
    <w:rPr>
      <w:rFonts w:ascii="楷体_GB2312" w:eastAsia="楷体_GB2312"/>
      <w:sz w:val="28"/>
      <w:szCs w:val="20"/>
    </w:rPr>
  </w:style>
  <w:style w:type="paragraph" w:styleId="14">
    <w:name w:val="Block Text"/>
    <w:basedOn w:val="1"/>
    <w:qFormat/>
    <w:uiPriority w:val="0"/>
    <w:pPr>
      <w:widowControl w:val="0"/>
      <w:spacing w:line="360" w:lineRule="auto"/>
      <w:ind w:left="564" w:right="26"/>
      <w:jc w:val="both"/>
    </w:pPr>
    <w:rPr>
      <w:rFonts w:ascii="宋体"/>
      <w:color w:val="000000"/>
      <w:kern w:val="2"/>
      <w:sz w:val="21"/>
      <w:szCs w:val="20"/>
    </w:rPr>
  </w:style>
  <w:style w:type="paragraph" w:styleId="15">
    <w:name w:val="toc 5"/>
    <w:basedOn w:val="1"/>
    <w:next w:val="1"/>
    <w:qFormat/>
    <w:uiPriority w:val="0"/>
    <w:pPr>
      <w:ind w:left="960"/>
    </w:pPr>
    <w:rPr>
      <w:rFonts w:ascii="Calibri" w:hAnsi="Calibri"/>
      <w:sz w:val="18"/>
      <w:szCs w:val="18"/>
    </w:rPr>
  </w:style>
  <w:style w:type="paragraph" w:styleId="16">
    <w:name w:val="toc 3"/>
    <w:basedOn w:val="1"/>
    <w:next w:val="1"/>
    <w:qFormat/>
    <w:uiPriority w:val="0"/>
    <w:pPr>
      <w:ind w:left="480"/>
    </w:pPr>
    <w:rPr>
      <w:rFonts w:ascii="Calibri" w:hAnsi="Calibri"/>
      <w:i/>
      <w:iCs/>
      <w:sz w:val="20"/>
      <w:szCs w:val="20"/>
    </w:rPr>
  </w:style>
  <w:style w:type="paragraph" w:styleId="17">
    <w:name w:val="Plain Text"/>
    <w:basedOn w:val="1"/>
    <w:link w:val="43"/>
    <w:qFormat/>
    <w:uiPriority w:val="0"/>
    <w:pPr>
      <w:widowControl w:val="0"/>
      <w:jc w:val="both"/>
    </w:pPr>
    <w:rPr>
      <w:rFonts w:ascii="宋体" w:hAnsi="Courier New"/>
      <w:kern w:val="2"/>
      <w:sz w:val="21"/>
      <w:szCs w:val="20"/>
    </w:rPr>
  </w:style>
  <w:style w:type="paragraph" w:styleId="18">
    <w:name w:val="toc 8"/>
    <w:basedOn w:val="1"/>
    <w:next w:val="1"/>
    <w:qFormat/>
    <w:uiPriority w:val="0"/>
    <w:pPr>
      <w:ind w:left="1680"/>
    </w:pPr>
    <w:rPr>
      <w:rFonts w:ascii="Calibri" w:hAnsi="Calibri"/>
      <w:sz w:val="18"/>
      <w:szCs w:val="18"/>
    </w:rPr>
  </w:style>
  <w:style w:type="paragraph" w:styleId="19">
    <w:name w:val="Body Text Indent 2"/>
    <w:basedOn w:val="1"/>
    <w:qFormat/>
    <w:uiPriority w:val="0"/>
    <w:pPr>
      <w:spacing w:after="120" w:line="480" w:lineRule="auto"/>
      <w:ind w:left="420" w:leftChars="200"/>
    </w:pPr>
  </w:style>
  <w:style w:type="paragraph" w:styleId="20">
    <w:name w:val="Balloon Text"/>
    <w:basedOn w:val="1"/>
    <w:link w:val="44"/>
    <w:qFormat/>
    <w:uiPriority w:val="0"/>
    <w:rPr>
      <w:sz w:val="18"/>
      <w:szCs w:val="18"/>
    </w:rPr>
  </w:style>
  <w:style w:type="paragraph" w:styleId="21">
    <w:name w:val="footer"/>
    <w:basedOn w:val="1"/>
    <w:link w:val="45"/>
    <w:qFormat/>
    <w:uiPriority w:val="99"/>
    <w:pPr>
      <w:tabs>
        <w:tab w:val="center" w:pos="4153"/>
        <w:tab w:val="right" w:pos="8306"/>
      </w:tabs>
      <w:snapToGrid w:val="0"/>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pPr>
    <w:rPr>
      <w:rFonts w:ascii="Calibri" w:hAnsi="Calibri"/>
      <w:b/>
      <w:bCs/>
      <w:caps/>
      <w:sz w:val="20"/>
      <w:szCs w:val="20"/>
    </w:rPr>
  </w:style>
  <w:style w:type="paragraph" w:styleId="24">
    <w:name w:val="toc 4"/>
    <w:basedOn w:val="1"/>
    <w:next w:val="1"/>
    <w:qFormat/>
    <w:uiPriority w:val="0"/>
    <w:pPr>
      <w:ind w:left="720"/>
    </w:pPr>
    <w:rPr>
      <w:rFonts w:ascii="Calibri" w:hAnsi="Calibri"/>
      <w:sz w:val="18"/>
      <w:szCs w:val="18"/>
    </w:rPr>
  </w:style>
  <w:style w:type="paragraph" w:styleId="25">
    <w:name w:val="toc 6"/>
    <w:basedOn w:val="1"/>
    <w:next w:val="1"/>
    <w:qFormat/>
    <w:uiPriority w:val="0"/>
    <w:pPr>
      <w:ind w:left="1200"/>
    </w:pPr>
    <w:rPr>
      <w:rFonts w:ascii="Calibri" w:hAnsi="Calibri"/>
      <w:sz w:val="18"/>
      <w:szCs w:val="18"/>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ind w:left="240"/>
    </w:pPr>
    <w:rPr>
      <w:rFonts w:ascii="Calibri" w:hAnsi="Calibri"/>
      <w:smallCaps/>
      <w:sz w:val="20"/>
      <w:szCs w:val="20"/>
    </w:rPr>
  </w:style>
  <w:style w:type="paragraph" w:styleId="28">
    <w:name w:val="toc 9"/>
    <w:basedOn w:val="1"/>
    <w:next w:val="1"/>
    <w:qFormat/>
    <w:uiPriority w:val="0"/>
    <w:pPr>
      <w:ind w:left="1920"/>
    </w:pPr>
    <w:rPr>
      <w:rFonts w:ascii="Calibri" w:hAnsi="Calibri"/>
      <w:sz w:val="18"/>
      <w:szCs w:val="18"/>
    </w:rPr>
  </w:style>
  <w:style w:type="paragraph" w:styleId="29">
    <w:name w:val="Body Text 2"/>
    <w:basedOn w:val="1"/>
    <w:qFormat/>
    <w:uiPriority w:val="0"/>
    <w:pPr>
      <w:spacing w:after="120" w:line="480" w:lineRule="auto"/>
    </w:pPr>
  </w:style>
  <w:style w:type="paragraph" w:styleId="30">
    <w:name w:val="Normal (Web)"/>
    <w:basedOn w:val="1"/>
    <w:qFormat/>
    <w:uiPriority w:val="0"/>
    <w:pPr>
      <w:spacing w:before="100" w:beforeAutospacing="1" w:after="100" w:afterAutospacing="1"/>
    </w:pPr>
    <w:rPr>
      <w:rFonts w:ascii="宋体" w:hAnsi="宋体" w:cs="宋体"/>
    </w:rPr>
  </w:style>
  <w:style w:type="paragraph" w:styleId="31">
    <w:name w:val="annotation subject"/>
    <w:basedOn w:val="11"/>
    <w:next w:val="11"/>
    <w:link w:val="46"/>
    <w:qFormat/>
    <w:uiPriority w:val="0"/>
    <w:pPr>
      <w:autoSpaceDE/>
      <w:autoSpaceDN/>
    </w:pPr>
    <w:rPr>
      <w:b/>
      <w:bCs/>
      <w:sz w:val="24"/>
      <w:szCs w:val="24"/>
    </w:rPr>
  </w:style>
  <w:style w:type="paragraph" w:styleId="32">
    <w:name w:val="Body Text First Indent"/>
    <w:basedOn w:val="2"/>
    <w:qFormat/>
    <w:uiPriority w:val="0"/>
    <w:pPr>
      <w:ind w:firstLine="420" w:firstLineChars="100"/>
    </w:p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0"/>
  </w:style>
  <w:style w:type="character" w:styleId="37">
    <w:name w:val="FollowedHyperlink"/>
    <w:unhideWhenUsed/>
    <w:qFormat/>
    <w:uiPriority w:val="99"/>
    <w:rPr>
      <w:color w:val="954F72"/>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文档结构图 字符"/>
    <w:link w:val="10"/>
    <w:qFormat/>
    <w:uiPriority w:val="0"/>
    <w:rPr>
      <w:rFonts w:ascii="宋体"/>
      <w:sz w:val="18"/>
      <w:szCs w:val="18"/>
    </w:rPr>
  </w:style>
  <w:style w:type="character" w:customStyle="1" w:styleId="41">
    <w:name w:val="批注文字 字符"/>
    <w:link w:val="11"/>
    <w:qFormat/>
    <w:uiPriority w:val="0"/>
    <w:rPr>
      <w:rFonts w:ascii="宋体" w:hAnsi="宋体"/>
      <w:sz w:val="22"/>
      <w:szCs w:val="22"/>
    </w:rPr>
  </w:style>
  <w:style w:type="character" w:customStyle="1" w:styleId="42">
    <w:name w:val="正文文本缩进 字符"/>
    <w:link w:val="13"/>
    <w:qFormat/>
    <w:uiPriority w:val="0"/>
    <w:rPr>
      <w:rFonts w:ascii="楷体_GB2312" w:eastAsia="楷体_GB2312"/>
      <w:snapToGrid/>
      <w:sz w:val="28"/>
    </w:rPr>
  </w:style>
  <w:style w:type="character" w:customStyle="1" w:styleId="43">
    <w:name w:val="纯文本 字符"/>
    <w:link w:val="17"/>
    <w:qFormat/>
    <w:uiPriority w:val="0"/>
    <w:rPr>
      <w:rFonts w:ascii="宋体" w:hAnsi="Courier New" w:eastAsia="宋体"/>
      <w:kern w:val="2"/>
      <w:sz w:val="21"/>
      <w:lang w:val="en-US" w:eastAsia="zh-CN" w:bidi="ar-SA"/>
    </w:rPr>
  </w:style>
  <w:style w:type="character" w:customStyle="1" w:styleId="44">
    <w:name w:val="批注框文本 字符"/>
    <w:link w:val="20"/>
    <w:qFormat/>
    <w:uiPriority w:val="0"/>
    <w:rPr>
      <w:sz w:val="18"/>
      <w:szCs w:val="18"/>
    </w:rPr>
  </w:style>
  <w:style w:type="character" w:customStyle="1" w:styleId="45">
    <w:name w:val="页脚 字符"/>
    <w:link w:val="21"/>
    <w:qFormat/>
    <w:uiPriority w:val="99"/>
    <w:rPr>
      <w:sz w:val="18"/>
      <w:szCs w:val="18"/>
    </w:rPr>
  </w:style>
  <w:style w:type="character" w:customStyle="1" w:styleId="46">
    <w:name w:val="批注主题 字符"/>
    <w:link w:val="31"/>
    <w:qFormat/>
    <w:uiPriority w:val="0"/>
    <w:rPr>
      <w:rFonts w:ascii="宋体" w:hAnsi="宋体"/>
      <w:b/>
      <w:bCs/>
      <w:sz w:val="24"/>
      <w:szCs w:val="24"/>
    </w:rPr>
  </w:style>
  <w:style w:type="character" w:customStyle="1" w:styleId="47">
    <w:name w:val="NormalCharacter"/>
    <w:semiHidden/>
    <w:qFormat/>
    <w:uiPriority w:val="99"/>
  </w:style>
  <w:style w:type="character" w:customStyle="1" w:styleId="48">
    <w:name w:val="正文文本 3 Char"/>
    <w:link w:val="49"/>
    <w:qFormat/>
    <w:uiPriority w:val="0"/>
    <w:rPr>
      <w:kern w:val="2"/>
      <w:sz w:val="16"/>
      <w:szCs w:val="16"/>
    </w:rPr>
  </w:style>
  <w:style w:type="paragraph" w:customStyle="1" w:styleId="49">
    <w:name w:val="正文文本 31"/>
    <w:basedOn w:val="1"/>
    <w:link w:val="48"/>
    <w:qFormat/>
    <w:uiPriority w:val="0"/>
    <w:pPr>
      <w:widowControl w:val="0"/>
      <w:spacing w:after="120"/>
      <w:jc w:val="both"/>
    </w:pPr>
    <w:rPr>
      <w:kern w:val="2"/>
      <w:sz w:val="16"/>
      <w:szCs w:val="16"/>
    </w:rPr>
  </w:style>
  <w:style w:type="paragraph" w:customStyle="1" w:styleId="5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0"/>
      <w:szCs w:val="20"/>
    </w:rPr>
  </w:style>
  <w:style w:type="paragraph" w:customStyle="1" w:styleId="52">
    <w:name w:val="List Paragraph1"/>
    <w:basedOn w:val="1"/>
    <w:qFormat/>
    <w:uiPriority w:val="0"/>
    <w:pPr>
      <w:ind w:firstLine="420" w:firstLineChars="200"/>
    </w:pPr>
    <w:rPr>
      <w:rFonts w:ascii="Calibri" w:hAnsi="Calibri"/>
      <w:szCs w:val="22"/>
    </w:rPr>
  </w:style>
  <w:style w:type="paragraph" w:customStyle="1" w:styleId="53">
    <w:name w:val="Char1"/>
    <w:basedOn w:val="1"/>
    <w:qFormat/>
    <w:uiPriority w:val="0"/>
    <w:pPr>
      <w:widowControl w:val="0"/>
      <w:jc w:val="both"/>
    </w:pPr>
    <w:rPr>
      <w:kern w:val="2"/>
      <w:sz w:val="21"/>
    </w:rPr>
  </w:style>
  <w:style w:type="paragraph" w:customStyle="1" w:styleId="54">
    <w:name w:val="font7"/>
    <w:basedOn w:val="1"/>
    <w:qFormat/>
    <w:uiPriority w:val="0"/>
    <w:pPr>
      <w:spacing w:before="100" w:beforeAutospacing="1" w:after="100" w:afterAutospacing="1"/>
    </w:pPr>
    <w:rPr>
      <w:rFonts w:ascii="Arial" w:hAnsi="Arial" w:cs="Arial"/>
      <w:color w:val="000000"/>
      <w:sz w:val="20"/>
      <w:szCs w:val="20"/>
    </w:rPr>
  </w:style>
  <w:style w:type="paragraph" w:customStyle="1" w:styleId="55">
    <w:name w:val="font6"/>
    <w:basedOn w:val="1"/>
    <w:qFormat/>
    <w:uiPriority w:val="0"/>
    <w:pPr>
      <w:spacing w:before="100" w:beforeAutospacing="1" w:after="100" w:afterAutospacing="1"/>
    </w:pPr>
    <w:rPr>
      <w:rFonts w:ascii="宋体" w:hAnsi="宋体" w:cs="宋体"/>
      <w:color w:val="000000"/>
      <w:sz w:val="20"/>
      <w:szCs w:val="20"/>
    </w:rPr>
  </w:style>
  <w:style w:type="paragraph" w:customStyle="1" w:styleId="5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7">
    <w:name w:val="font5"/>
    <w:basedOn w:val="1"/>
    <w:qFormat/>
    <w:uiPriority w:val="0"/>
    <w:pPr>
      <w:spacing w:before="100" w:beforeAutospacing="1" w:after="100" w:afterAutospacing="1"/>
    </w:pPr>
    <w:rPr>
      <w:rFonts w:ascii="宋体" w:hAnsi="宋体" w:cs="宋体"/>
      <w:sz w:val="18"/>
      <w:szCs w:val="18"/>
    </w:rPr>
  </w:style>
  <w:style w:type="paragraph" w:customStyle="1" w:styleId="58">
    <w:name w:val="Char Char"/>
    <w:next w:val="1"/>
    <w:qFormat/>
    <w:uiPriority w:val="0"/>
    <w:pPr>
      <w:keepNext/>
      <w:keepLines/>
      <w:spacing w:before="240" w:after="240"/>
      <w:ind w:left="624" w:hanging="624"/>
      <w:outlineLvl w:val="7"/>
    </w:pPr>
    <w:rPr>
      <w:rFonts w:ascii="Arial" w:hAnsi="Arial" w:eastAsia="黑体" w:cs="Arial"/>
      <w:snapToGrid w:val="0"/>
      <w:sz w:val="21"/>
      <w:szCs w:val="21"/>
      <w:lang w:val="en-US" w:eastAsia="zh-CN" w:bidi="ar-SA"/>
    </w:rPr>
  </w:style>
  <w:style w:type="paragraph" w:customStyle="1" w:styleId="59">
    <w:name w:val="xl70"/>
    <w:basedOn w:val="1"/>
    <w:qFormat/>
    <w:uiPriority w:val="0"/>
    <w:pPr>
      <w:spacing w:before="100" w:beforeAutospacing="1" w:after="100" w:afterAutospacing="1"/>
      <w:jc w:val="center"/>
    </w:pPr>
    <w:rPr>
      <w:rFonts w:ascii="宋体" w:hAnsi="宋体" w:cs="宋体"/>
      <w:sz w:val="18"/>
      <w:szCs w:val="18"/>
    </w:rPr>
  </w:style>
  <w:style w:type="paragraph" w:customStyle="1" w:styleId="60">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62">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6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4">
    <w:name w:val="_Style 18"/>
    <w:basedOn w:val="1"/>
    <w:qFormat/>
    <w:uiPriority w:val="0"/>
    <w:pPr>
      <w:spacing w:after="160" w:line="240" w:lineRule="exact"/>
    </w:pPr>
    <w:rPr>
      <w:rFonts w:ascii="Verdana" w:hAnsi="Verdana"/>
      <w:sz w:val="20"/>
      <w:szCs w:val="20"/>
      <w:lang w:eastAsia="en-US"/>
    </w:rPr>
  </w:style>
  <w:style w:type="paragraph" w:customStyle="1" w:styleId="65">
    <w:name w:val="xl79"/>
    <w:basedOn w:val="1"/>
    <w:qFormat/>
    <w:uiPriority w:val="0"/>
    <w:pPr>
      <w:spacing w:before="100" w:beforeAutospacing="1" w:after="100" w:afterAutospacing="1"/>
      <w:jc w:val="center"/>
    </w:pPr>
    <w:rPr>
      <w:rFonts w:ascii="宋体" w:hAnsi="宋体" w:cs="宋体"/>
      <w:b/>
      <w:bCs/>
      <w:sz w:val="28"/>
      <w:szCs w:val="28"/>
    </w:rPr>
  </w:style>
  <w:style w:type="paragraph" w:customStyle="1" w:styleId="66">
    <w:name w:val="xl78"/>
    <w:basedOn w:val="1"/>
    <w:qFormat/>
    <w:uiPriority w:val="0"/>
    <w:pPr>
      <w:spacing w:before="100" w:beforeAutospacing="1" w:after="100" w:afterAutospacing="1"/>
      <w:jc w:val="center"/>
    </w:pPr>
    <w:rPr>
      <w:rFonts w:ascii="宋体" w:hAnsi="宋体" w:cs="宋体"/>
      <w:b/>
      <w:bCs/>
      <w:sz w:val="28"/>
      <w:szCs w:val="28"/>
    </w:rPr>
  </w:style>
  <w:style w:type="paragraph" w:customStyle="1" w:styleId="67">
    <w:name w:val="样式 小四 段前: 5 磅 段后: 5 磅 首行缩进:  2 字符"/>
    <w:basedOn w:val="1"/>
    <w:qFormat/>
    <w:uiPriority w:val="0"/>
    <w:pPr>
      <w:spacing w:line="360" w:lineRule="auto"/>
    </w:pPr>
    <w:rPr>
      <w:rFonts w:ascii="宋体" w:hAnsi="宋体"/>
      <w:color w:val="000000"/>
    </w:rPr>
  </w:style>
  <w:style w:type="paragraph" w:customStyle="1" w:styleId="68">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styleId="69">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71">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7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73">
    <w:name w:val="_Style 70"/>
    <w:unhideWhenUsed/>
    <w:qFormat/>
    <w:uiPriority w:val="99"/>
    <w:rPr>
      <w:rFonts w:ascii="Times New Roman" w:hAnsi="Times New Roman" w:eastAsia="宋体" w:cs="Times New Roman"/>
      <w:sz w:val="24"/>
      <w:szCs w:val="24"/>
      <w:lang w:val="en-US" w:eastAsia="zh-CN" w:bidi="ar-SA"/>
    </w:rPr>
  </w:style>
  <w:style w:type="paragraph" w:customStyle="1" w:styleId="7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FF0000"/>
      <w:sz w:val="20"/>
      <w:szCs w:val="20"/>
    </w:rPr>
  </w:style>
  <w:style w:type="paragraph" w:customStyle="1" w:styleId="7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sz w:val="20"/>
      <w:szCs w:val="20"/>
    </w:rPr>
  </w:style>
  <w:style w:type="paragraph" w:customStyle="1" w:styleId="7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7">
    <w:name w:val="xl68"/>
    <w:basedOn w:val="1"/>
    <w:qFormat/>
    <w:uiPriority w:val="0"/>
    <w:pPr>
      <w:spacing w:before="100" w:beforeAutospacing="1" w:after="100" w:afterAutospacing="1"/>
    </w:pPr>
    <w:rPr>
      <w:rFonts w:ascii="宋体" w:hAnsi="宋体" w:cs="宋体"/>
      <w:sz w:val="18"/>
      <w:szCs w:val="18"/>
    </w:rPr>
  </w:style>
  <w:style w:type="paragraph" w:customStyle="1" w:styleId="7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Blockquote"/>
    <w:basedOn w:val="1"/>
    <w:qFormat/>
    <w:uiPriority w:val="0"/>
    <w:pPr>
      <w:widowControl w:val="0"/>
      <w:autoSpaceDE w:val="0"/>
      <w:autoSpaceDN w:val="0"/>
      <w:adjustRightInd w:val="0"/>
      <w:spacing w:before="100" w:after="100"/>
      <w:ind w:left="360" w:right="360"/>
    </w:pPr>
    <w:rPr>
      <w:szCs w:val="20"/>
    </w:rPr>
  </w:style>
  <w:style w:type="paragraph" w:customStyle="1" w:styleId="80">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1">
    <w:name w:val="_Style 47"/>
    <w:basedOn w:val="3"/>
    <w:next w:val="1"/>
    <w:qFormat/>
    <w:uiPriority w:val="0"/>
    <w:pPr>
      <w:outlineLvl w:val="9"/>
    </w:pPr>
  </w:style>
  <w:style w:type="paragraph" w:customStyle="1" w:styleId="8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83">
    <w:name w:val="TOC 标题1"/>
    <w:basedOn w:val="3"/>
    <w:next w:val="1"/>
    <w:semiHidden/>
    <w:unhideWhenUsed/>
    <w:qFormat/>
    <w:uiPriority w:val="99"/>
    <w:pPr>
      <w:outlineLvl w:val="9"/>
    </w:pPr>
  </w:style>
  <w:style w:type="paragraph" w:customStyle="1" w:styleId="84">
    <w:name w:val="Default"/>
    <w:qFormat/>
    <w:uiPriority w:val="0"/>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85">
    <w:name w:val="l-btn-left"/>
    <w:basedOn w:val="35"/>
    <w:qFormat/>
    <w:uiPriority w:val="0"/>
  </w:style>
  <w:style w:type="character" w:customStyle="1" w:styleId="86">
    <w:name w:val="l-btn-left1"/>
    <w:basedOn w:val="35"/>
    <w:qFormat/>
    <w:uiPriority w:val="0"/>
  </w:style>
  <w:style w:type="character" w:customStyle="1" w:styleId="87">
    <w:name w:val="l-btn-left2"/>
    <w:basedOn w:val="35"/>
    <w:qFormat/>
    <w:uiPriority w:val="0"/>
  </w:style>
  <w:style w:type="character" w:customStyle="1" w:styleId="88">
    <w:name w:val="l-btn-left3"/>
    <w:basedOn w:val="35"/>
    <w:qFormat/>
    <w:uiPriority w:val="0"/>
  </w:style>
  <w:style w:type="character" w:customStyle="1" w:styleId="89">
    <w:name w:val="l-btn-left4"/>
    <w:basedOn w:val="35"/>
    <w:qFormat/>
    <w:uiPriority w:val="0"/>
  </w:style>
  <w:style w:type="character" w:customStyle="1" w:styleId="90">
    <w:name w:val="button"/>
    <w:basedOn w:val="35"/>
    <w:qFormat/>
    <w:uiPriority w:val="0"/>
  </w:style>
  <w:style w:type="character" w:customStyle="1" w:styleId="91">
    <w:name w:val="l-btn-icon-right"/>
    <w:basedOn w:val="35"/>
    <w:qFormat/>
    <w:uiPriority w:val="0"/>
  </w:style>
  <w:style w:type="character" w:customStyle="1" w:styleId="92">
    <w:name w:val="l-btn-empty"/>
    <w:basedOn w:val="35"/>
    <w:qFormat/>
    <w:uiPriority w:val="0"/>
  </w:style>
  <w:style w:type="character" w:customStyle="1" w:styleId="93">
    <w:name w:val="tmpztreemove_arrow"/>
    <w:basedOn w:val="35"/>
    <w:qFormat/>
    <w:uiPriority w:val="0"/>
  </w:style>
  <w:style w:type="character" w:customStyle="1" w:styleId="94">
    <w:name w:val="l-btn-text"/>
    <w:basedOn w:val="35"/>
    <w:qFormat/>
    <w:uiPriority w:val="0"/>
    <w:rPr>
      <w:sz w:val="18"/>
      <w:szCs w:val="18"/>
    </w:rPr>
  </w:style>
  <w:style w:type="character" w:customStyle="1" w:styleId="95">
    <w:name w:val="l-btn-text1"/>
    <w:basedOn w:val="35"/>
    <w:qFormat/>
    <w:uiPriority w:val="0"/>
  </w:style>
  <w:style w:type="character" w:customStyle="1" w:styleId="96">
    <w:name w:val="l-btn-icon-left"/>
    <w:basedOn w:val="35"/>
    <w:qFormat/>
    <w:uiPriority w:val="0"/>
  </w:style>
  <w:style w:type="paragraph" w:customStyle="1" w:styleId="97">
    <w:name w:val="修订1"/>
    <w:hidden/>
    <w:semiHidden/>
    <w:qFormat/>
    <w:uiPriority w:val="99"/>
    <w:rPr>
      <w:rFonts w:ascii="Times New Roman" w:hAnsi="Times New Roman" w:eastAsia="宋体" w:cs="Times New Roman"/>
      <w:sz w:val="24"/>
      <w:szCs w:val="24"/>
      <w:lang w:val="en-US" w:eastAsia="zh-CN" w:bidi="ar-SA"/>
    </w:rPr>
  </w:style>
  <w:style w:type="paragraph" w:customStyle="1" w:styleId="98">
    <w:name w:val="修订2"/>
    <w:hidden/>
    <w:semiHidden/>
    <w:qFormat/>
    <w:uiPriority w:val="99"/>
    <w:rPr>
      <w:rFonts w:ascii="Times New Roman" w:hAnsi="Times New Roman" w:eastAsia="宋体" w:cs="Times New Roman"/>
      <w:sz w:val="24"/>
      <w:szCs w:val="24"/>
      <w:lang w:val="en-US" w:eastAsia="zh-CN" w:bidi="ar-SA"/>
    </w:rPr>
  </w:style>
  <w:style w:type="paragraph" w:customStyle="1" w:styleId="99">
    <w:name w:val="1"/>
    <w:basedOn w:val="1"/>
    <w:next w:val="17"/>
    <w:qFormat/>
    <w:uiPriority w:val="99"/>
    <w:pPr>
      <w:widowControl w:val="0"/>
      <w:jc w:val="both"/>
    </w:pPr>
    <w:rPr>
      <w:rFonts w:ascii="宋体" w:hAnsi="Courier New"/>
      <w:kern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D9DA5-CE8E-4256-82F5-B5481B541D82}">
  <ds:schemaRefs/>
</ds:datastoreItem>
</file>

<file path=docProps/app.xml><?xml version="1.0" encoding="utf-8"?>
<Properties xmlns="http://schemas.openxmlformats.org/officeDocument/2006/extended-properties" xmlns:vt="http://schemas.openxmlformats.org/officeDocument/2006/docPropsVTypes">
  <Template>Normal</Template>
  <Pages>36</Pages>
  <Words>14176</Words>
  <Characters>14938</Characters>
  <Lines>130</Lines>
  <Paragraphs>36</Paragraphs>
  <TotalTime>100</TotalTime>
  <ScaleCrop>false</ScaleCrop>
  <LinksUpToDate>false</LinksUpToDate>
  <CharactersWithSpaces>16239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2024-03-22T08:18:00Z</dcterms:created>
  <dc:creator>C0312</dc:creator>
  <cp:lastModifiedBy>谢华娟</cp:lastModifiedBy>
  <cp:lastPrinted>2021-08-25T07:36:00Z</cp:lastPrinted>
  <dcterms:modified xsi:type="dcterms:W3CDTF">2024-04-09T02:30:17Z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018BBDB99E5F4E249DA534F4BF4DD865</vt:lpwstr>
  </property>
  <property fmtid="{D5CDD505-2E9C-101B-9397-08002B2CF9AE}" pid="4" name="commondata">
    <vt:lpwstr>eyJoZGlkIjoiNTIyMDVhOWNkZjc3MmZhODE4NjY0ZWRmMTBhYzU3YmEifQ==</vt:lpwstr>
  </property>
</Properties>
</file>