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1"/>
      </w:pPr>
      <w:r>
        <w:rPr>
          <w:rFonts w:hint="eastAsia"/>
          <w:b/>
          <w:sz w:val="36"/>
        </w:rPr>
        <w:t>2024年河涌保洁外包服务</w:t>
      </w:r>
      <w:r>
        <w:rPr>
          <w:b/>
          <w:sz w:val="36"/>
        </w:rPr>
        <w:t>采购需求</w:t>
      </w:r>
    </w:p>
    <w:p>
      <w:pPr>
        <w:pStyle w:val="7"/>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一、项目概况：</w:t>
      </w:r>
    </w:p>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pPr>
      <w:r>
        <w:rPr>
          <w:b/>
          <w:sz w:val="21"/>
        </w:rPr>
        <w:t>（一）总则</w:t>
      </w:r>
    </w:p>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pPr>
      <w:r>
        <w:rPr>
          <w:sz w:val="21"/>
        </w:rPr>
        <w:t>1、采购项目：</w:t>
      </w:r>
      <w:r>
        <w:rPr>
          <w:rFonts w:hint="eastAsia"/>
          <w:sz w:val="21"/>
          <w:lang w:eastAsia="zh-CN"/>
        </w:rPr>
        <w:t>2024年河涌保洁外包服务</w:t>
      </w:r>
      <w:r>
        <w:rPr>
          <w:sz w:val="21"/>
        </w:rPr>
        <w:t>，供应商必须对所有采购内容进行投标，不允许只对其中部分内容进行投标或报价。</w:t>
      </w:r>
    </w:p>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pPr>
      <w:r>
        <w:rPr>
          <w:sz w:val="21"/>
        </w:rPr>
        <w:t>2、供应商报价应包括完成本项目全部内容的费用，相关人工费、材料费、差旅费、税费及服务过程中的不可预见费等均包含在投标总价中。</w:t>
      </w:r>
    </w:p>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pPr>
      <w:r>
        <w:rPr>
          <w:sz w:val="21"/>
        </w:rPr>
        <w:t>3、成交供应商不得以任何方式转包或分包本项目。</w:t>
      </w:r>
    </w:p>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pPr>
      <w:r>
        <w:rPr>
          <w:sz w:val="21"/>
        </w:rPr>
        <w:t>4、采购需求中打“★”号条款为实质性条款，若有任何一条负偏离或不满足则导致投标无效。 打“▲”号条款为重要技术参数（如有），若有部分“▲”条款未响应或不满足，将根据评审要求影响其得分，但不作为无效投标条款。</w:t>
      </w:r>
    </w:p>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rPr>
          <w:sz w:val="21"/>
        </w:rPr>
      </w:pPr>
      <w:r>
        <w:rPr>
          <w:sz w:val="21"/>
        </w:rPr>
        <w:t>5、本项目由成交供应商负责</w:t>
      </w:r>
      <w:r>
        <w:rPr>
          <w:rFonts w:hint="eastAsia"/>
          <w:sz w:val="21"/>
          <w:lang w:eastAsia="zh-CN"/>
        </w:rPr>
        <w:t>磋商文件</w:t>
      </w:r>
      <w:r>
        <w:rPr>
          <w:sz w:val="21"/>
        </w:rPr>
        <w:t>对成交供应商要求的一切事宜及责任，如果供应商在成交并签署合同后，在项目实施过程中出现报价内容的任何遗漏，均由成交供应商提供，采购人将不再支付任何费用。</w:t>
      </w:r>
    </w:p>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rPr>
          <w:sz w:val="21"/>
        </w:rPr>
      </w:pPr>
      <w:r>
        <w:rPr>
          <w:rFonts w:hint="eastAsia"/>
          <w:sz w:val="21"/>
          <w:lang w:val="en-US" w:eastAsia="zh-CN"/>
        </w:rPr>
        <w:t>6、</w:t>
      </w:r>
      <w:r>
        <w:rPr>
          <w:sz w:val="21"/>
        </w:rPr>
        <w:t>成交供应商</w:t>
      </w:r>
      <w:r>
        <w:rPr>
          <w:rFonts w:hint="eastAsia"/>
          <w:sz w:val="21"/>
        </w:rPr>
        <w:t>必须独立完成保洁任务，不得挂靠或分包，否则采购人有权中止合同并追究违约责任。</w:t>
      </w:r>
    </w:p>
    <w:p>
      <w:pPr>
        <w:pStyle w:val="7"/>
        <w:keepNext w:val="0"/>
        <w:keepLines w:val="0"/>
        <w:pageBreakBefore w:val="0"/>
        <w:kinsoku/>
        <w:wordWrap/>
        <w:overflowPunct/>
        <w:topLinePunct w:val="0"/>
        <w:autoSpaceDE/>
        <w:autoSpaceDN/>
        <w:bidi w:val="0"/>
        <w:adjustRightInd/>
        <w:snapToGrid/>
        <w:spacing w:line="360" w:lineRule="auto"/>
        <w:textAlignment w:val="auto"/>
      </w:pP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eastAsiaTheme="minorEastAsia"/>
          <w:lang w:eastAsia="zh-CN"/>
        </w:rPr>
      </w:pPr>
      <w:r>
        <w:rPr>
          <w:b/>
        </w:rPr>
        <w:t>附表一：</w:t>
      </w:r>
      <w:r>
        <w:rPr>
          <w:rFonts w:hint="eastAsia"/>
          <w:b/>
          <w:lang w:eastAsia="zh-CN"/>
        </w:rPr>
        <w:t>2024年河涌保洁外包服务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7"/>
        <w:gridCol w:w="627"/>
        <w:gridCol w:w="82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trPr>
        <w:tc>
          <w:tcPr>
            <w:tcW w:w="767"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参数性质</w:t>
            </w:r>
          </w:p>
        </w:tc>
        <w:tc>
          <w:tcPr>
            <w:tcW w:w="627"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序号</w:t>
            </w:r>
          </w:p>
        </w:tc>
        <w:tc>
          <w:tcPr>
            <w:tcW w:w="8245"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4" w:hRule="atLeast"/>
        </w:trPr>
        <w:tc>
          <w:tcPr>
            <w:tcW w:w="767" w:type="dxa"/>
          </w:tcPr>
          <w:p>
            <w:pPr>
              <w:keepNext w:val="0"/>
              <w:keepLines w:val="0"/>
              <w:pageBreakBefore w:val="0"/>
              <w:kinsoku/>
              <w:wordWrap/>
              <w:overflowPunct/>
              <w:topLinePunct w:val="0"/>
              <w:autoSpaceDE/>
              <w:autoSpaceDN/>
              <w:bidi w:val="0"/>
              <w:adjustRightInd/>
              <w:snapToGrid/>
              <w:spacing w:line="360" w:lineRule="auto"/>
              <w:textAlignment w:val="auto"/>
              <w:rPr>
                <w:color w:val="auto"/>
              </w:rPr>
            </w:pPr>
          </w:p>
        </w:tc>
        <w:tc>
          <w:tcPr>
            <w:tcW w:w="627"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1</w:t>
            </w:r>
          </w:p>
        </w:tc>
        <w:tc>
          <w:tcPr>
            <w:tcW w:w="8245" w:type="dxa"/>
          </w:tcPr>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rPr>
                <w:color w:val="auto"/>
              </w:rPr>
            </w:pPr>
            <w:r>
              <w:rPr>
                <w:b/>
                <w:color w:val="auto"/>
                <w:sz w:val="21"/>
              </w:rPr>
              <w:t>一、总体服务要求：</w:t>
            </w:r>
          </w:p>
          <w:p>
            <w:pPr>
              <w:pStyle w:val="7"/>
              <w:keepNext w:val="0"/>
              <w:keepLines w:val="0"/>
              <w:pageBreakBefore w:val="0"/>
              <w:kinsoku/>
              <w:wordWrap/>
              <w:overflowPunct/>
              <w:topLinePunct w:val="0"/>
              <w:autoSpaceDE/>
              <w:autoSpaceDN/>
              <w:bidi w:val="0"/>
              <w:adjustRightInd/>
              <w:snapToGrid/>
              <w:spacing w:line="360" w:lineRule="auto"/>
              <w:ind w:firstLine="480"/>
              <w:jc w:val="both"/>
              <w:textAlignment w:val="auto"/>
              <w:rPr>
                <w:color w:val="auto"/>
              </w:rPr>
            </w:pPr>
            <w:r>
              <w:rPr>
                <w:rFonts w:hint="eastAsia" w:ascii="宋体" w:hAnsi="宋体" w:cs="宋体"/>
                <w:color w:val="auto"/>
                <w:szCs w:val="21"/>
                <w:highlight w:val="none"/>
              </w:rPr>
              <w:t>为全面推行河长制湖长制工作，保证</w:t>
            </w:r>
            <w:r>
              <w:rPr>
                <w:rFonts w:hint="eastAsia" w:ascii="宋体" w:hAnsi="宋体" w:cs="宋体"/>
                <w:color w:val="auto"/>
                <w:szCs w:val="21"/>
                <w:highlight w:val="none"/>
                <w:lang w:val="en-US" w:eastAsia="zh-CN"/>
              </w:rPr>
              <w:t>南朗街道</w:t>
            </w:r>
            <w:r>
              <w:rPr>
                <w:rFonts w:hint="eastAsia" w:ascii="宋体" w:hAnsi="宋体" w:cs="宋体"/>
                <w:color w:val="auto"/>
                <w:szCs w:val="21"/>
                <w:highlight w:val="none"/>
              </w:rPr>
              <w:t>内河涌河面保洁工作的顺利实施，营造一个干净、整洁的河涌环境，现拟将区</w:t>
            </w:r>
            <w:r>
              <w:rPr>
                <w:rFonts w:hint="eastAsia" w:ascii="宋体" w:hAnsi="宋体" w:cs="宋体"/>
                <w:color w:val="auto"/>
                <w:szCs w:val="21"/>
                <w:highlight w:val="none"/>
                <w:lang w:val="en-US" w:eastAsia="zh-CN"/>
              </w:rPr>
              <w:t>街道</w:t>
            </w:r>
            <w:r>
              <w:rPr>
                <w:rFonts w:hint="eastAsia" w:ascii="宋体" w:hAnsi="宋体" w:cs="宋体"/>
                <w:color w:val="auto"/>
                <w:szCs w:val="21"/>
                <w:highlight w:val="none"/>
              </w:rPr>
              <w:t>内河涌河面保洁服务实行社会化管理。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67" w:type="dxa"/>
          </w:tcPr>
          <w:p>
            <w:pPr>
              <w:keepNext w:val="0"/>
              <w:keepLines w:val="0"/>
              <w:pageBreakBefore w:val="0"/>
              <w:kinsoku/>
              <w:wordWrap/>
              <w:overflowPunct/>
              <w:topLinePunct w:val="0"/>
              <w:autoSpaceDE/>
              <w:autoSpaceDN/>
              <w:bidi w:val="0"/>
              <w:adjustRightInd/>
              <w:snapToGrid/>
              <w:spacing w:line="360" w:lineRule="auto"/>
              <w:textAlignment w:val="auto"/>
              <w:rPr>
                <w:color w:val="auto"/>
              </w:rPr>
            </w:pPr>
          </w:p>
        </w:tc>
        <w:tc>
          <w:tcPr>
            <w:tcW w:w="627"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2</w:t>
            </w:r>
          </w:p>
        </w:tc>
        <w:tc>
          <w:tcPr>
            <w:tcW w:w="8245" w:type="dxa"/>
          </w:tcPr>
          <w:p>
            <w:pPr>
              <w:numPr>
                <w:ilvl w:val="0"/>
                <w:numId w:val="0"/>
              </w:numPr>
              <w:tabs>
                <w:tab w:val="left" w:pos="540"/>
                <w:tab w:val="left" w:pos="720"/>
                <w:tab w:val="left" w:pos="840"/>
              </w:tabs>
              <w:spacing w:line="360" w:lineRule="auto"/>
              <w:rPr>
                <w:rFonts w:hint="eastAsia" w:ascii="宋体" w:hAnsi="宋体"/>
                <w:b/>
                <w:color w:val="auto"/>
                <w:highlight w:val="none"/>
              </w:rPr>
            </w:pPr>
            <w:r>
              <w:rPr>
                <w:b/>
                <w:color w:val="auto"/>
                <w:sz w:val="21"/>
              </w:rPr>
              <w:t>二、</w:t>
            </w:r>
            <w:r>
              <w:rPr>
                <w:rFonts w:hint="eastAsia" w:ascii="宋体" w:hAnsi="宋体"/>
                <w:b/>
                <w:color w:val="auto"/>
                <w:highlight w:val="none"/>
                <w:lang w:val="en-US" w:eastAsia="zh-CN"/>
              </w:rPr>
              <w:t>河涌</w:t>
            </w:r>
            <w:r>
              <w:rPr>
                <w:rFonts w:hint="eastAsia" w:ascii="宋体" w:hAnsi="宋体"/>
                <w:b/>
                <w:color w:val="auto"/>
                <w:highlight w:val="none"/>
              </w:rPr>
              <w:t>服务范围</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3522"/>
              <w:gridCol w:w="2349"/>
              <w:gridCol w:w="798"/>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219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46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49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47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河道保洁（每天1次）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河涌保洁（大溪，长度2.8km）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1、河涌保洁，平均宽度8m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2、每天1次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河涌保洁（中心一河，下湾果场至兴朗路段，长度1.4km，）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1、河涌保洁，平均宽度16m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2、每天1次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河涌保洁（麻子涌，长度1.6km）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1、河涌保洁，平均宽度10m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2、每天1次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河涌保洁（中心二河，长度4.2km）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1、河涌保洁，平均宽度40m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2、每天1次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河道保洁（每周3次）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河涌保洁（兰溪河，攸福隆至崖口陂头段，长度2.2km，）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1、河涌保洁，平均宽度15m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2、每周3次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河堤保洁（崖口东堤，长度2km）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1、河堤保洁，离堤边宽5m宽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2、每周3次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河涌保洁（河沙头涌，长度3.6km）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1、河涌保洁，平均宽度10m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2、每周3次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河涌保洁（横门大桥至火炬开发区交界处，长度0.428km）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2、每周3次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河涌保洁（中珠排洪渠左岸，长度2.4km）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2、每周3次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河涌保洁（北部排洪渠，大泉水库溢洪道至冲口门大闸，长度1.6km）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1、河涌保洁，平均宽度10m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2、每周3次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河涌保洁（供水公司至通佳三桥，长度2.2km）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1、河涌保洁，平均宽度23m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2、每周3次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河涌保洁（南冲渠，南冲渠至官冲河，长度1.1km）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2、每周3次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河道保洁（每周2次）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河涌保洁（十顷涌（海富路段），长度0.3km）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河涌保洁（鸡头角涌，长度1.3km）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1、河涌保洁，平均宽度33m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河涌保洁（中心一河，兴朗路至冲口门大闸，长度4.2km）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1、河涌保洁，平均宽度16m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河涌保洁（兰溪河，逸仙水库至二顷六泵站，除去攸福隆至崖口陂头段，长度4.5km）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1、河涌保洁，平均宽度15m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河涌保洁（北部排洪渠，大泉水库溢洪道至冲口门大闸，剩余长度4.6km）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1、河涌保洁，平均宽度10m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河涌保洁（中心泵站引水渠，长度0.646km）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河涌保洁（中心连河，长度0.88km）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1、河涌保洁，平均宽度24m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河涌保洁（贝里坑，长度3km）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河涌保洁（白企坑，长度2km）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河涌保洁（合水坑，长度2.8km）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1、河涌保洁，平均宽度9m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河涌保洁（大车南渠，长度0.8km）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河涌保洁（大车北渠，长度0.53km）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河涌保洁（东桠涌，长度1.85km）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1、河涌保洁，平均宽度8m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河涌保洁（南涌渠剩余部分，长度1.2km）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河涌保洁（泮沙支渠，长度2km）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河涌保洁（南苑排水渠，长度0.44km）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1、河涌保洁，平均宽度2m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河涌保洁（冲口门上栏小桥至横门口、冲口门渔港至横门口，长度2.075km，两岸各5m）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1、河涌保洁，两岸各5m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河涌保洁（六顷涌（下沙排洪渠），长度1.8km，两岸各5m）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1、河涌保洁，两岸各5m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河涌保洁（泮沙排洪渠延长，长度1.8km，两岸各5m）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1、河涌保洁，两岸各5m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河涌保洁（桠洲涌，长度1.9km，两岸各5m）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1、河涌保洁，两岸各5m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河涌保洁（十顷涌，长度4.4km，两岸各5m）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1、河涌保洁，两岸各5m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河涌保洁（横门水道，长度1.2km，右岸3m）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1、河涌保洁，右岸3m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河涌保洁（横门口，长度4.8km，两岸各5m）</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1、河涌保洁，两岸各5m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2、每周2次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河涌两岸垃圾清理范围按现状河床线外延（往河涌边道路方向）≤5m的范围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河涌边道路(5m范围），一年12次海岸线保洁（每月1次）</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1、道路人工清扫8h 保洁8h(每班一扫) 四级</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217863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海岸线保洁（每月1次）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桠洲围至虎池围海岸线</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1、海岸线段保洁，平均宽度3m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2、每月1次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三千亩至大茅岛海岸线</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1、海岸线段保洁，平均宽度3m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2、每月1次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水库水面保洁（每年1次）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水库水面保洁(逸仙水库）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水库水面保洁(横迳水库）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水库水面保洁(箭竹山水库）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水库水面保洁(莲花地水库）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水库水面保洁(大泉水库）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水库水面保洁(云梯山水库）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水库水面保洁(出水象水库）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水库水面保洁(黄泥坑水库）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水库水面保洁(荔枝园水库）</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1、库坝保洁，平均宽度3m(每年2次）</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垃圾清运，自卸汽车清运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21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垃圾清运，自卸汽车清运</w:t>
                  </w:r>
                </w:p>
              </w:tc>
              <w:tc>
                <w:tcPr>
                  <w:tcW w:w="1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1、自卸汽车运输生活垃圾 运距投标人自行考虑</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落实执行有关管理规定：</w:t>
            </w:r>
          </w:p>
          <w:p>
            <w:pPr>
              <w:widowControl w:val="0"/>
              <w:tabs>
                <w:tab w:val="left" w:pos="540"/>
                <w:tab w:val="left" w:pos="720"/>
                <w:tab w:val="left" w:pos="84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附件1：《</w:t>
            </w:r>
            <w:r>
              <w:rPr>
                <w:rFonts w:hint="eastAsia" w:ascii="宋体" w:hAnsi="宋体" w:eastAsia="宋体" w:cs="宋体"/>
                <w:color w:val="auto"/>
                <w:sz w:val="21"/>
                <w:szCs w:val="21"/>
                <w:lang w:eastAsia="zh-CN"/>
              </w:rPr>
              <w:t>河涌</w:t>
            </w:r>
            <w:r>
              <w:rPr>
                <w:rFonts w:hint="eastAsia" w:ascii="宋体" w:hAnsi="宋体" w:eastAsia="宋体" w:cs="宋体"/>
                <w:color w:val="auto"/>
                <w:sz w:val="21"/>
                <w:szCs w:val="21"/>
              </w:rPr>
              <w:t>河面保洁作业要求》</w:t>
            </w:r>
          </w:p>
          <w:p>
            <w:pPr>
              <w:widowControl w:val="0"/>
              <w:tabs>
                <w:tab w:val="left" w:pos="540"/>
                <w:tab w:val="left" w:pos="720"/>
                <w:tab w:val="left" w:pos="840"/>
              </w:tabs>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附件2：《</w:t>
            </w:r>
            <w:r>
              <w:rPr>
                <w:rFonts w:hint="eastAsia" w:ascii="宋体" w:hAnsi="宋体" w:eastAsia="宋体" w:cs="宋体"/>
                <w:color w:val="auto"/>
                <w:sz w:val="21"/>
                <w:szCs w:val="21"/>
                <w:lang w:eastAsia="zh-CN"/>
              </w:rPr>
              <w:t>河涌</w:t>
            </w:r>
            <w:r>
              <w:rPr>
                <w:rFonts w:hint="eastAsia" w:ascii="宋体" w:hAnsi="宋体" w:eastAsia="宋体" w:cs="宋体"/>
                <w:color w:val="auto"/>
                <w:sz w:val="21"/>
                <w:szCs w:val="21"/>
              </w:rPr>
              <w:t>河面保洁作业质量验评标准》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bCs/>
                <w:color w:val="auto"/>
                <w:sz w:val="21"/>
                <w:szCs w:val="21"/>
              </w:rPr>
              <w:t>河涌河面保洁</w:t>
            </w:r>
            <w:r>
              <w:rPr>
                <w:rFonts w:hint="eastAsia" w:ascii="宋体" w:hAnsi="宋体" w:eastAsia="宋体" w:cs="宋体"/>
                <w:color w:val="auto"/>
                <w:sz w:val="21"/>
                <w:szCs w:val="21"/>
              </w:rPr>
              <w:t>设施设备清单及要求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767" w:type="dxa"/>
          </w:tcPr>
          <w:p>
            <w:pPr>
              <w:keepNext w:val="0"/>
              <w:keepLines w:val="0"/>
              <w:pageBreakBefore w:val="0"/>
              <w:kinsoku/>
              <w:wordWrap/>
              <w:overflowPunct/>
              <w:topLinePunct w:val="0"/>
              <w:autoSpaceDE/>
              <w:autoSpaceDN/>
              <w:bidi w:val="0"/>
              <w:adjustRightInd/>
              <w:snapToGrid/>
              <w:spacing w:line="360" w:lineRule="auto"/>
              <w:textAlignment w:val="auto"/>
              <w:rPr>
                <w:color w:val="auto"/>
              </w:rPr>
            </w:pPr>
          </w:p>
        </w:tc>
        <w:tc>
          <w:tcPr>
            <w:tcW w:w="627"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3</w:t>
            </w:r>
          </w:p>
        </w:tc>
        <w:tc>
          <w:tcPr>
            <w:tcW w:w="8245" w:type="dxa"/>
          </w:tcPr>
          <w:p>
            <w:pPr>
              <w:numPr>
                <w:ilvl w:val="0"/>
                <w:numId w:val="0"/>
              </w:numPr>
              <w:spacing w:before="156" w:beforeLines="50" w:after="156" w:afterLines="50" w:line="360" w:lineRule="exact"/>
              <w:ind w:leftChars="0"/>
              <w:outlineLvl w:val="0"/>
              <w:rPr>
                <w:rFonts w:hint="eastAsia" w:ascii="宋体" w:hAnsi="宋体" w:eastAsia="宋体" w:cs="宋体"/>
                <w:b/>
                <w:color w:val="auto"/>
                <w:sz w:val="21"/>
                <w:szCs w:val="21"/>
              </w:rPr>
            </w:pPr>
            <w:r>
              <w:rPr>
                <w:b/>
                <w:color w:val="auto"/>
                <w:sz w:val="21"/>
              </w:rPr>
              <w:t>三、</w:t>
            </w:r>
            <w:r>
              <w:rPr>
                <w:rFonts w:hint="eastAsia" w:ascii="宋体" w:hAnsi="宋体" w:eastAsia="宋体" w:cs="宋体"/>
                <w:b/>
                <w:color w:val="auto"/>
                <w:sz w:val="21"/>
                <w:szCs w:val="21"/>
              </w:rPr>
              <w:t>质量及安全文明要求</w:t>
            </w:r>
          </w:p>
          <w:p>
            <w:pPr>
              <w:tabs>
                <w:tab w:val="left" w:pos="720"/>
              </w:tabs>
              <w:spacing w:before="15" w:beforeLines="5" w:after="156" w:afterLines="50" w:line="400" w:lineRule="exact"/>
              <w:ind w:left="210" w:firstLine="420" w:firstLineChars="200"/>
              <w:rPr>
                <w:color w:val="auto"/>
              </w:rPr>
            </w:pPr>
            <w:r>
              <w:rPr>
                <w:rFonts w:hint="eastAsia" w:ascii="宋体" w:hAnsi="宋体" w:eastAsia="宋体" w:cs="宋体"/>
                <w:color w:val="auto"/>
                <w:sz w:val="21"/>
                <w:szCs w:val="21"/>
                <w:lang w:val="en-US" w:eastAsia="zh-CN"/>
              </w:rPr>
              <w:t>成交人</w:t>
            </w:r>
            <w:r>
              <w:rPr>
                <w:rFonts w:hint="eastAsia" w:ascii="宋体" w:hAnsi="宋体" w:eastAsia="宋体" w:cs="宋体"/>
                <w:color w:val="auto"/>
                <w:sz w:val="21"/>
                <w:szCs w:val="21"/>
              </w:rPr>
              <w:t>应严格按照国家颁布的现行规范要求和安全操作规程进行</w:t>
            </w:r>
            <w:r>
              <w:rPr>
                <w:rFonts w:hint="eastAsia" w:ascii="宋体" w:hAnsi="宋体" w:eastAsia="宋体" w:cs="宋体"/>
                <w:bCs/>
                <w:color w:val="auto"/>
                <w:sz w:val="21"/>
                <w:szCs w:val="21"/>
              </w:rPr>
              <w:t>河面清捞保洁</w:t>
            </w:r>
            <w:r>
              <w:rPr>
                <w:rFonts w:hint="eastAsia" w:ascii="宋体" w:hAnsi="宋体" w:eastAsia="宋体" w:cs="宋体"/>
                <w:color w:val="auto"/>
                <w:sz w:val="21"/>
                <w:szCs w:val="21"/>
              </w:rPr>
              <w:t>作业。贯彻执行落实《城市市容和环境卫生管理条例》、《城市环境卫生质量标准》、《广东省城市市容和环境卫生管理规定》、《广东省城市垃圾管理条例》、《中山市城区环境卫生管理办法》等，保证市容环境卫生质量，做到文明作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5" w:hRule="atLeast"/>
        </w:trPr>
        <w:tc>
          <w:tcPr>
            <w:tcW w:w="767" w:type="dxa"/>
          </w:tcPr>
          <w:p>
            <w:pPr>
              <w:keepNext w:val="0"/>
              <w:keepLines w:val="0"/>
              <w:pageBreakBefore w:val="0"/>
              <w:kinsoku/>
              <w:wordWrap/>
              <w:overflowPunct/>
              <w:topLinePunct w:val="0"/>
              <w:autoSpaceDE/>
              <w:autoSpaceDN/>
              <w:bidi w:val="0"/>
              <w:adjustRightInd/>
              <w:snapToGrid/>
              <w:spacing w:line="360" w:lineRule="auto"/>
              <w:textAlignment w:val="auto"/>
              <w:rPr>
                <w:color w:val="auto"/>
              </w:rPr>
            </w:pPr>
          </w:p>
        </w:tc>
        <w:tc>
          <w:tcPr>
            <w:tcW w:w="627"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4</w:t>
            </w:r>
          </w:p>
        </w:tc>
        <w:tc>
          <w:tcPr>
            <w:tcW w:w="8245" w:type="dxa"/>
          </w:tcPr>
          <w:p>
            <w:pPr>
              <w:pStyle w:val="7"/>
              <w:keepNext w:val="0"/>
              <w:keepLines w:val="0"/>
              <w:pageBreakBefore w:val="0"/>
              <w:numPr>
                <w:ilvl w:val="0"/>
                <w:numId w:val="1"/>
              </w:numPr>
              <w:kinsoku/>
              <w:wordWrap/>
              <w:overflowPunct/>
              <w:topLinePunct w:val="0"/>
              <w:autoSpaceDE/>
              <w:autoSpaceDN/>
              <w:bidi w:val="0"/>
              <w:adjustRightInd/>
              <w:snapToGrid/>
              <w:spacing w:line="360" w:lineRule="auto"/>
              <w:ind w:left="-480" w:leftChars="0" w:firstLine="480" w:firstLineChars="0"/>
              <w:jc w:val="both"/>
              <w:textAlignment w:val="auto"/>
              <w:rPr>
                <w:rFonts w:hint="eastAsia" w:ascii="宋体" w:hAnsi="宋体"/>
                <w:b/>
                <w:color w:val="auto"/>
                <w:highlight w:val="none"/>
              </w:rPr>
            </w:pPr>
            <w:r>
              <w:rPr>
                <w:rFonts w:hint="eastAsia" w:ascii="宋体" w:hAnsi="宋体"/>
                <w:b/>
                <w:color w:val="auto"/>
                <w:highlight w:val="none"/>
              </w:rPr>
              <w:t>服务人员及设备要求</w:t>
            </w:r>
          </w:p>
          <w:p>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（一）</w:t>
            </w:r>
            <w:r>
              <w:rPr>
                <w:rFonts w:hint="eastAsia" w:ascii="宋体" w:hAnsi="宋体"/>
                <w:color w:val="auto"/>
                <w:szCs w:val="21"/>
                <w:highlight w:val="none"/>
              </w:rPr>
              <w:t>人员要求</w:t>
            </w:r>
          </w:p>
          <w:p>
            <w:pPr>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总人数不少于</w:t>
            </w:r>
            <w:r>
              <w:rPr>
                <w:rFonts w:hint="eastAsia" w:ascii="宋体" w:hAnsi="宋体"/>
                <w:color w:val="auto"/>
                <w:szCs w:val="21"/>
                <w:highlight w:val="none"/>
                <w:lang w:val="en-US" w:eastAsia="zh-CN"/>
              </w:rPr>
              <w:t>22</w:t>
            </w:r>
            <w:r>
              <w:rPr>
                <w:rFonts w:hint="eastAsia" w:ascii="宋体" w:hAnsi="宋体"/>
                <w:color w:val="auto"/>
                <w:szCs w:val="21"/>
                <w:highlight w:val="none"/>
              </w:rPr>
              <w:t>人，其中河面保洁现场作业人数不少于</w:t>
            </w:r>
            <w:r>
              <w:rPr>
                <w:rFonts w:hint="eastAsia" w:ascii="宋体" w:hAnsi="宋体"/>
                <w:color w:val="auto"/>
                <w:szCs w:val="21"/>
                <w:highlight w:val="none"/>
                <w:lang w:val="en-US" w:eastAsia="zh-CN"/>
              </w:rPr>
              <w:t>18</w:t>
            </w:r>
            <w:r>
              <w:rPr>
                <w:rFonts w:hint="eastAsia" w:ascii="宋体" w:hAnsi="宋体"/>
                <w:color w:val="auto"/>
                <w:szCs w:val="21"/>
                <w:highlight w:val="none"/>
              </w:rPr>
              <w:t>人，按河段进行分工，如遇突发环境卫生事件需要增派人员，承包方必须无条件服从发包方的增加作业人员的要求；</w:t>
            </w:r>
          </w:p>
          <w:p>
            <w:pPr>
              <w:numPr>
                <w:ilvl w:val="0"/>
                <w:numId w:val="0"/>
              </w:numPr>
              <w:spacing w:line="360" w:lineRule="auto"/>
              <w:ind w:leftChars="0"/>
              <w:rPr>
                <w:rFonts w:hint="eastAsia" w:ascii="宋体" w:hAnsi="宋体"/>
                <w:color w:val="auto"/>
                <w:szCs w:val="21"/>
                <w:highlight w:val="none"/>
              </w:rPr>
            </w:pPr>
            <w:r>
              <w:rPr>
                <w:color w:val="auto"/>
                <w:highlight w:val="none"/>
              </w:rPr>
              <w:t>★</w:t>
            </w:r>
            <w:r>
              <w:rPr>
                <w:rFonts w:hint="eastAsia" w:ascii="宋体" w:hAnsi="宋体"/>
                <w:color w:val="auto"/>
                <w:szCs w:val="21"/>
                <w:highlight w:val="none"/>
              </w:rPr>
              <w:t>若</w:t>
            </w:r>
            <w:r>
              <w:rPr>
                <w:color w:val="auto"/>
                <w:sz w:val="21"/>
              </w:rPr>
              <w:t>成交供应商</w:t>
            </w:r>
            <w:r>
              <w:rPr>
                <w:rFonts w:hint="eastAsia" w:ascii="宋体" w:hAnsi="宋体"/>
                <w:color w:val="auto"/>
                <w:szCs w:val="21"/>
                <w:highlight w:val="none"/>
              </w:rPr>
              <w:t>投标时未能提供</w:t>
            </w:r>
            <w:r>
              <w:rPr>
                <w:rFonts w:hint="eastAsia" w:ascii="宋体" w:hAnsi="宋体"/>
                <w:color w:val="auto"/>
                <w:szCs w:val="21"/>
                <w:highlight w:val="none"/>
                <w:lang w:val="en-US" w:eastAsia="zh-CN"/>
              </w:rPr>
              <w:t>上述人员的</w:t>
            </w:r>
            <w:r>
              <w:rPr>
                <w:rFonts w:hint="eastAsia" w:ascii="宋体" w:hAnsi="宋体"/>
                <w:color w:val="auto"/>
                <w:szCs w:val="21"/>
                <w:highlight w:val="none"/>
              </w:rPr>
              <w:t>，可在</w:t>
            </w:r>
            <w:r>
              <w:rPr>
                <w:rFonts w:hint="eastAsia" w:ascii="宋体" w:hAnsi="宋体"/>
                <w:color w:val="auto"/>
                <w:szCs w:val="21"/>
                <w:highlight w:val="none"/>
                <w:lang w:val="en-US" w:eastAsia="zh-CN"/>
              </w:rPr>
              <w:t>磋商</w:t>
            </w:r>
            <w:r>
              <w:rPr>
                <w:rFonts w:hint="eastAsia" w:ascii="宋体" w:hAnsi="宋体"/>
                <w:color w:val="auto"/>
                <w:szCs w:val="21"/>
                <w:highlight w:val="none"/>
              </w:rPr>
              <w:t>文件中提供承诺书并加盖供应商公章视为满足人员要求，承诺书内容包括但不限于：“若我单位中标，在</w:t>
            </w:r>
            <w:r>
              <w:rPr>
                <w:rFonts w:hint="eastAsia" w:ascii="宋体" w:hAnsi="宋体"/>
                <w:color w:val="auto"/>
                <w:szCs w:val="21"/>
                <w:highlight w:val="none"/>
                <w:lang w:val="en-US" w:eastAsia="zh-CN"/>
              </w:rPr>
              <w:t>中标通知书发出之日起15日内，</w:t>
            </w:r>
            <w:r>
              <w:rPr>
                <w:rFonts w:hint="eastAsia" w:ascii="宋体" w:hAnsi="宋体"/>
                <w:color w:val="auto"/>
                <w:szCs w:val="21"/>
                <w:highlight w:val="none"/>
              </w:rPr>
              <w:t>签订合同前保证按</w:t>
            </w:r>
            <w:r>
              <w:rPr>
                <w:rFonts w:hint="eastAsia" w:ascii="宋体" w:hAnsi="宋体"/>
                <w:color w:val="auto"/>
                <w:szCs w:val="21"/>
                <w:highlight w:val="none"/>
                <w:lang w:val="en-US" w:eastAsia="zh-CN"/>
              </w:rPr>
              <w:t>磋商</w:t>
            </w:r>
            <w:r>
              <w:rPr>
                <w:rFonts w:hint="eastAsia" w:ascii="宋体" w:hAnsi="宋体"/>
                <w:color w:val="auto"/>
                <w:szCs w:val="21"/>
                <w:highlight w:val="none"/>
              </w:rPr>
              <w:t>文件中所承诺投入的人员提供社保证明或劳动合同供采购人核查，否则视为我单位放弃中标资格”</w:t>
            </w:r>
            <w:r>
              <w:rPr>
                <w:rFonts w:hint="eastAsia" w:ascii="宋体" w:hAnsi="宋体"/>
                <w:color w:val="auto"/>
                <w:szCs w:val="21"/>
                <w:highlight w:val="none"/>
                <w:lang w:eastAsia="zh-CN"/>
              </w:rPr>
              <w:t>。</w:t>
            </w:r>
          </w:p>
          <w:p>
            <w:pPr>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成交供应商须设置保洁区专职管理人员，方便</w:t>
            </w:r>
            <w:r>
              <w:rPr>
                <w:rFonts w:hint="eastAsia" w:ascii="宋体" w:hAnsi="宋体"/>
                <w:color w:val="auto"/>
                <w:szCs w:val="21"/>
                <w:highlight w:val="none"/>
                <w:lang w:val="en-US" w:eastAsia="zh-CN"/>
              </w:rPr>
              <w:t>采购人</w:t>
            </w:r>
            <w:r>
              <w:rPr>
                <w:rFonts w:hint="eastAsia" w:ascii="宋体" w:hAnsi="宋体"/>
                <w:color w:val="auto"/>
                <w:szCs w:val="21"/>
                <w:highlight w:val="none"/>
              </w:rPr>
              <w:t>的管理和联系。</w:t>
            </w:r>
          </w:p>
          <w:p>
            <w:pPr>
              <w:numPr>
                <w:ilvl w:val="0"/>
                <w:numId w:val="2"/>
              </w:num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每只作业船每航班次作业人员不少于2人,作业人员均需持证上岗。</w:t>
            </w:r>
          </w:p>
          <w:p>
            <w:pPr>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保洁作业人员须每天按时完成河涌保洁任务。</w:t>
            </w:r>
          </w:p>
          <w:p>
            <w:pPr>
              <w:pStyle w:val="3"/>
              <w:numPr>
                <w:ilvl w:val="0"/>
                <w:numId w:val="2"/>
              </w:numPr>
              <w:ind w:left="420" w:leftChars="0" w:hanging="420" w:firstLineChars="0"/>
              <w:rPr>
                <w:rFonts w:hint="default"/>
                <w:color w:val="auto"/>
                <w:highlight w:val="none"/>
                <w:lang w:val="en-US" w:eastAsia="zh-CN"/>
              </w:rPr>
            </w:pPr>
            <w:r>
              <w:rPr>
                <w:rFonts w:hint="eastAsia" w:ascii="宋体" w:hAnsi="宋体" w:cs="宋体"/>
                <w:color w:val="auto"/>
                <w:kern w:val="2"/>
                <w:sz w:val="21"/>
                <w:szCs w:val="21"/>
                <w:highlight w:val="none"/>
                <w:lang w:val="en-US" w:eastAsia="zh-CN" w:bidi="ar-SA"/>
              </w:rPr>
              <w:t>严禁人力艇进入茅龙水道、横门水道北支和横门水道南支作业。</w:t>
            </w:r>
          </w:p>
          <w:p>
            <w:pPr>
              <w:numPr>
                <w:ilvl w:val="0"/>
                <w:numId w:val="3"/>
              </w:numPr>
              <w:spacing w:line="360" w:lineRule="auto"/>
              <w:rPr>
                <w:rFonts w:hint="eastAsia" w:ascii="宋体" w:hAnsi="宋体"/>
                <w:color w:val="auto"/>
                <w:szCs w:val="21"/>
                <w:highlight w:val="none"/>
              </w:rPr>
            </w:pPr>
            <w:r>
              <w:rPr>
                <w:rFonts w:hint="eastAsia" w:ascii="宋体" w:hAnsi="宋体"/>
                <w:color w:val="auto"/>
                <w:szCs w:val="21"/>
                <w:highlight w:val="none"/>
              </w:rPr>
              <w:t>设备要求</w:t>
            </w:r>
          </w:p>
          <w:p>
            <w:pPr>
              <w:pStyle w:val="8"/>
              <w:numPr>
                <w:ilvl w:val="0"/>
                <w:numId w:val="0"/>
              </w:numPr>
              <w:ind w:left="57" w:leftChars="0"/>
              <w:jc w:val="both"/>
              <w:rPr>
                <w:rFonts w:hint="eastAsia"/>
                <w:color w:val="auto"/>
              </w:rPr>
            </w:pPr>
          </w:p>
          <w:tbl>
            <w:tblPr>
              <w:tblStyle w:val="5"/>
              <w:tblW w:w="4908" w:type="pct"/>
              <w:tblInd w:w="0" w:type="dxa"/>
              <w:tblLayout w:type="fixed"/>
              <w:tblCellMar>
                <w:top w:w="0" w:type="dxa"/>
                <w:left w:w="108" w:type="dxa"/>
                <w:bottom w:w="0" w:type="dxa"/>
                <w:right w:w="108" w:type="dxa"/>
              </w:tblCellMar>
            </w:tblPr>
            <w:tblGrid>
              <w:gridCol w:w="623"/>
              <w:gridCol w:w="1206"/>
              <w:gridCol w:w="894"/>
              <w:gridCol w:w="1641"/>
              <w:gridCol w:w="1865"/>
              <w:gridCol w:w="1652"/>
            </w:tblGrid>
            <w:tr>
              <w:tblPrEx>
                <w:tblCellMar>
                  <w:top w:w="0" w:type="dxa"/>
                  <w:left w:w="108" w:type="dxa"/>
                  <w:bottom w:w="0" w:type="dxa"/>
                  <w:right w:w="108" w:type="dxa"/>
                </w:tblCellMar>
              </w:tblPrEx>
              <w:trPr>
                <w:trHeight w:val="610" w:hRule="atLeast"/>
              </w:trPr>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序号</w:t>
                  </w:r>
                </w:p>
              </w:tc>
              <w:tc>
                <w:tcPr>
                  <w:tcW w:w="7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设备名称</w:t>
                  </w:r>
                </w:p>
              </w:tc>
              <w:tc>
                <w:tcPr>
                  <w:tcW w:w="5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数量</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技术参数和要求</w:t>
                  </w:r>
                </w:p>
              </w:tc>
              <w:tc>
                <w:tcPr>
                  <w:tcW w:w="11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rPr>
                  </w:pPr>
                  <w:r>
                    <w:rPr>
                      <w:rFonts w:hint="eastAsia" w:ascii="宋体" w:hAnsi="宋体" w:cs="宋体"/>
                      <w:b/>
                      <w:color w:val="auto"/>
                      <w:kern w:val="2"/>
                      <w:szCs w:val="21"/>
                    </w:rPr>
                    <w:t>要求</w:t>
                  </w:r>
                </w:p>
              </w:tc>
              <w:tc>
                <w:tcPr>
                  <w:tcW w:w="10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备注</w:t>
                  </w:r>
                </w:p>
              </w:tc>
            </w:tr>
            <w:tr>
              <w:tblPrEx>
                <w:tblCellMar>
                  <w:top w:w="0" w:type="dxa"/>
                  <w:left w:w="108" w:type="dxa"/>
                  <w:bottom w:w="0" w:type="dxa"/>
                  <w:right w:w="108" w:type="dxa"/>
                </w:tblCellMar>
              </w:tblPrEx>
              <w:trPr>
                <w:trHeight w:val="1126" w:hRule="atLeast"/>
              </w:trPr>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rPr>
                  </w:pPr>
                  <w:r>
                    <w:rPr>
                      <w:rFonts w:hint="eastAsia" w:ascii="宋体" w:hAnsi="宋体" w:cs="宋体"/>
                      <w:color w:val="auto"/>
                      <w:kern w:val="2"/>
                      <w:szCs w:val="21"/>
                    </w:rPr>
                    <w:t>1</w:t>
                  </w:r>
                </w:p>
              </w:tc>
              <w:tc>
                <w:tcPr>
                  <w:tcW w:w="7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color w:val="auto"/>
                      <w:kern w:val="2"/>
                      <w:szCs w:val="21"/>
                    </w:rPr>
                  </w:pPr>
                  <w:r>
                    <w:rPr>
                      <w:rFonts w:hint="eastAsia" w:ascii="宋体" w:hAnsi="宋体" w:cs="宋体"/>
                      <w:color w:val="auto"/>
                      <w:szCs w:val="21"/>
                      <w:highlight w:val="none"/>
                    </w:rPr>
                    <w:t>垃圾打捞作业船</w:t>
                  </w:r>
                </w:p>
              </w:tc>
              <w:tc>
                <w:tcPr>
                  <w:tcW w:w="5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color w:val="auto"/>
                      <w:kern w:val="2"/>
                      <w:szCs w:val="21"/>
                    </w:rPr>
                  </w:pPr>
                  <w:r>
                    <w:rPr>
                      <w:rFonts w:hint="eastAsia" w:ascii="宋体" w:hAnsi="宋体" w:cs="宋体"/>
                      <w:color w:val="auto"/>
                      <w:kern w:val="2"/>
                      <w:szCs w:val="21"/>
                      <w:lang w:val="en-US" w:eastAsia="zh-CN"/>
                    </w:rPr>
                    <w:t>4</w:t>
                  </w:r>
                  <w:r>
                    <w:rPr>
                      <w:rFonts w:hint="eastAsia" w:ascii="宋体" w:hAnsi="宋体" w:cs="宋体"/>
                      <w:color w:val="auto"/>
                      <w:kern w:val="2"/>
                      <w:szCs w:val="21"/>
                    </w:rPr>
                    <w:t>只</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2"/>
                      <w:szCs w:val="21"/>
                    </w:rPr>
                  </w:pPr>
                  <w:r>
                    <w:rPr>
                      <w:rFonts w:hint="eastAsia" w:ascii="宋体" w:hAnsi="宋体" w:cs="宋体"/>
                      <w:color w:val="auto"/>
                      <w:szCs w:val="21"/>
                      <w:highlight w:val="none"/>
                    </w:rPr>
                    <w:t>小型人力艇</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只</w:t>
                  </w:r>
                </w:p>
              </w:tc>
              <w:tc>
                <w:tcPr>
                  <w:tcW w:w="11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载重不小于1.5T</w:t>
                  </w:r>
                </w:p>
              </w:tc>
              <w:tc>
                <w:tcPr>
                  <w:tcW w:w="10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用于河面清捞垃圾</w:t>
                  </w:r>
                </w:p>
              </w:tc>
            </w:tr>
            <w:tr>
              <w:tblPrEx>
                <w:tblCellMar>
                  <w:top w:w="0" w:type="dxa"/>
                  <w:left w:w="108" w:type="dxa"/>
                  <w:bottom w:w="0" w:type="dxa"/>
                  <w:right w:w="108" w:type="dxa"/>
                </w:tblCellMar>
              </w:tblPrEx>
              <w:trPr>
                <w:trHeight w:val="1046" w:hRule="atLeast"/>
              </w:trPr>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eastAsiaTheme="minorEastAsia"/>
                      <w:color w:val="auto"/>
                      <w:lang w:val="en-US" w:eastAsia="zh-CN"/>
                    </w:rPr>
                  </w:pPr>
                  <w:r>
                    <w:rPr>
                      <w:rFonts w:hint="eastAsia"/>
                      <w:color w:val="auto"/>
                      <w:lang w:val="en-US" w:eastAsia="zh-CN"/>
                    </w:rPr>
                    <w:t>2</w:t>
                  </w:r>
                </w:p>
              </w:tc>
              <w:tc>
                <w:tcPr>
                  <w:tcW w:w="7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垃圾打捞作业船</w:t>
                  </w:r>
                </w:p>
              </w:tc>
              <w:tc>
                <w:tcPr>
                  <w:tcW w:w="5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kern w:val="2"/>
                      <w:szCs w:val="21"/>
                      <w:lang w:val="en-US" w:eastAsia="zh-CN"/>
                    </w:rPr>
                    <w:t>2</w:t>
                  </w:r>
                  <w:r>
                    <w:rPr>
                      <w:rFonts w:hint="eastAsia" w:ascii="宋体" w:hAnsi="宋体" w:cs="宋体"/>
                      <w:color w:val="auto"/>
                      <w:kern w:val="2"/>
                      <w:szCs w:val="21"/>
                    </w:rPr>
                    <w:t>只</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机动铁艇2只</w:t>
                  </w:r>
                </w:p>
              </w:tc>
              <w:tc>
                <w:tcPr>
                  <w:tcW w:w="11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载重不小于5T机动铁艇</w:t>
                  </w:r>
                </w:p>
              </w:tc>
              <w:tc>
                <w:tcPr>
                  <w:tcW w:w="10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用于河面清捞垃圾和转运人力艇垃圾</w:t>
                  </w:r>
                </w:p>
              </w:tc>
            </w:tr>
            <w:tr>
              <w:tblPrEx>
                <w:tblCellMar>
                  <w:top w:w="0" w:type="dxa"/>
                  <w:left w:w="108" w:type="dxa"/>
                  <w:bottom w:w="0" w:type="dxa"/>
                  <w:right w:w="108" w:type="dxa"/>
                </w:tblCellMar>
              </w:tblPrEx>
              <w:trPr>
                <w:trHeight w:val="792" w:hRule="atLeast"/>
              </w:trPr>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2"/>
                      <w:szCs w:val="21"/>
                      <w:lang w:val="en-US" w:eastAsia="zh-CN"/>
                    </w:rPr>
                  </w:pPr>
                  <w:r>
                    <w:rPr>
                      <w:rFonts w:hint="eastAsia" w:ascii="宋体" w:hAnsi="宋体" w:cs="宋体"/>
                      <w:color w:val="auto"/>
                      <w:kern w:val="2"/>
                      <w:szCs w:val="21"/>
                      <w:lang w:val="en-US" w:eastAsia="zh-CN"/>
                    </w:rPr>
                    <w:t>3</w:t>
                  </w:r>
                </w:p>
              </w:tc>
              <w:tc>
                <w:tcPr>
                  <w:tcW w:w="76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专用垃圾中转车</w:t>
                  </w:r>
                </w:p>
              </w:tc>
              <w:tc>
                <w:tcPr>
                  <w:tcW w:w="56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台</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2"/>
                      <w:szCs w:val="21"/>
                    </w:rPr>
                  </w:pPr>
                  <w:r>
                    <w:rPr>
                      <w:rFonts w:hint="eastAsia" w:ascii="宋体" w:hAnsi="宋体" w:cs="宋体"/>
                      <w:color w:val="auto"/>
                      <w:szCs w:val="21"/>
                      <w:highlight w:val="none"/>
                    </w:rPr>
                    <w:t>4轮机动车辆</w:t>
                  </w:r>
                </w:p>
              </w:tc>
              <w:tc>
                <w:tcPr>
                  <w:tcW w:w="118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2"/>
                      <w:szCs w:val="21"/>
                    </w:rPr>
                  </w:pPr>
                  <w:r>
                    <w:rPr>
                      <w:rFonts w:hint="eastAsia" w:ascii="宋体" w:hAnsi="宋体" w:cs="宋体"/>
                      <w:color w:val="auto"/>
                      <w:szCs w:val="21"/>
                      <w:highlight w:val="none"/>
                    </w:rPr>
                    <w:t>载重不小于3T</w:t>
                  </w:r>
                </w:p>
              </w:tc>
              <w:tc>
                <w:tcPr>
                  <w:tcW w:w="1045" w:type="pct"/>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cs="宋体"/>
                      <w:color w:val="auto"/>
                      <w:kern w:val="2"/>
                      <w:szCs w:val="21"/>
                    </w:rPr>
                  </w:pPr>
                </w:p>
              </w:tc>
            </w:tr>
            <w:tr>
              <w:tblPrEx>
                <w:tblCellMar>
                  <w:top w:w="0" w:type="dxa"/>
                  <w:left w:w="108" w:type="dxa"/>
                  <w:bottom w:w="0" w:type="dxa"/>
                  <w:right w:w="108" w:type="dxa"/>
                </w:tblCellMar>
              </w:tblPrEx>
              <w:trPr>
                <w:trHeight w:val="742" w:hRule="atLeast"/>
              </w:trPr>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2"/>
                      <w:szCs w:val="21"/>
                      <w:lang w:val="en-US" w:eastAsia="zh-CN"/>
                    </w:rPr>
                  </w:pPr>
                  <w:r>
                    <w:rPr>
                      <w:rFonts w:hint="eastAsia" w:ascii="宋体" w:hAnsi="宋体" w:cs="宋体"/>
                      <w:color w:val="auto"/>
                      <w:kern w:val="2"/>
                      <w:szCs w:val="21"/>
                      <w:lang w:val="en-US" w:eastAsia="zh-CN"/>
                    </w:rPr>
                    <w:t>4</w:t>
                  </w:r>
                </w:p>
              </w:tc>
              <w:tc>
                <w:tcPr>
                  <w:tcW w:w="76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河面打捞垃圾工具</w:t>
                  </w:r>
                </w:p>
              </w:tc>
              <w:tc>
                <w:tcPr>
                  <w:tcW w:w="56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1批</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2"/>
                      <w:szCs w:val="21"/>
                    </w:rPr>
                  </w:pPr>
                  <w:r>
                    <w:rPr>
                      <w:rFonts w:hint="eastAsia" w:ascii="宋体" w:hAnsi="宋体" w:cs="宋体"/>
                      <w:color w:val="auto"/>
                      <w:szCs w:val="21"/>
                      <w:highlight w:val="none"/>
                    </w:rPr>
                    <w:t>根据作业实际配置</w:t>
                  </w:r>
                </w:p>
              </w:tc>
              <w:tc>
                <w:tcPr>
                  <w:tcW w:w="118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2"/>
                      <w:szCs w:val="21"/>
                    </w:rPr>
                  </w:pPr>
                </w:p>
              </w:tc>
              <w:tc>
                <w:tcPr>
                  <w:tcW w:w="1045" w:type="pct"/>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cs="宋体"/>
                      <w:color w:val="auto"/>
                      <w:kern w:val="2"/>
                      <w:szCs w:val="21"/>
                    </w:rPr>
                  </w:pPr>
                </w:p>
              </w:tc>
            </w:tr>
            <w:tr>
              <w:tblPrEx>
                <w:tblCellMar>
                  <w:top w:w="0" w:type="dxa"/>
                  <w:left w:w="108" w:type="dxa"/>
                  <w:bottom w:w="0" w:type="dxa"/>
                  <w:right w:w="108" w:type="dxa"/>
                </w:tblCellMar>
              </w:tblPrEx>
              <w:trPr>
                <w:trHeight w:val="845" w:hRule="atLeast"/>
              </w:trPr>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2"/>
                      <w:szCs w:val="21"/>
                      <w:lang w:eastAsia="zh-CN"/>
                    </w:rPr>
                  </w:pPr>
                  <w:r>
                    <w:rPr>
                      <w:rFonts w:hint="eastAsia" w:ascii="宋体" w:hAnsi="宋体" w:cs="宋体"/>
                      <w:color w:val="auto"/>
                      <w:kern w:val="2"/>
                      <w:szCs w:val="21"/>
                      <w:lang w:val="en-US" w:eastAsia="zh-CN"/>
                    </w:rPr>
                    <w:t>5</w:t>
                  </w:r>
                </w:p>
              </w:tc>
              <w:tc>
                <w:tcPr>
                  <w:tcW w:w="76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Cs w:val="21"/>
                    </w:rPr>
                  </w:pPr>
                  <w:r>
                    <w:rPr>
                      <w:rFonts w:hint="eastAsia" w:ascii="宋体" w:hAnsi="宋体" w:cs="宋体"/>
                      <w:color w:val="auto"/>
                      <w:szCs w:val="21"/>
                      <w:highlight w:val="none"/>
                    </w:rPr>
                    <w:t>救生衣（圈）</w:t>
                  </w:r>
                </w:p>
              </w:tc>
              <w:tc>
                <w:tcPr>
                  <w:tcW w:w="56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Cs w:val="21"/>
                    </w:rPr>
                  </w:pPr>
                  <w:r>
                    <w:rPr>
                      <w:rFonts w:hint="eastAsia" w:ascii="宋体" w:hAnsi="宋体" w:cs="宋体"/>
                      <w:color w:val="auto"/>
                      <w:szCs w:val="21"/>
                      <w:highlight w:val="none"/>
                    </w:rPr>
                    <w:t>1批</w:t>
                  </w:r>
                </w:p>
              </w:tc>
              <w:tc>
                <w:tcPr>
                  <w:tcW w:w="1041"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2"/>
                      <w:szCs w:val="21"/>
                    </w:rPr>
                  </w:pPr>
                  <w:r>
                    <w:rPr>
                      <w:rFonts w:hint="eastAsia" w:ascii="宋体" w:hAnsi="宋体" w:cs="宋体"/>
                      <w:color w:val="auto"/>
                      <w:szCs w:val="21"/>
                      <w:highlight w:val="none"/>
                    </w:rPr>
                    <w:t>符合救生要求</w:t>
                  </w:r>
                </w:p>
              </w:tc>
              <w:tc>
                <w:tcPr>
                  <w:tcW w:w="1183"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Cs w:val="21"/>
                    </w:rPr>
                  </w:pPr>
                  <w:r>
                    <w:rPr>
                      <w:rFonts w:hint="eastAsia" w:ascii="宋体" w:hAnsi="宋体" w:cs="宋体"/>
                      <w:color w:val="auto"/>
                      <w:szCs w:val="21"/>
                      <w:highlight w:val="none"/>
                    </w:rPr>
                    <w:t>水上作业人员每个人必须配备</w:t>
                  </w:r>
                </w:p>
              </w:tc>
              <w:tc>
                <w:tcPr>
                  <w:tcW w:w="10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rPr>
                  </w:pPr>
                </w:p>
              </w:tc>
            </w:tr>
            <w:tr>
              <w:tblPrEx>
                <w:tblCellMar>
                  <w:top w:w="0" w:type="dxa"/>
                  <w:left w:w="108" w:type="dxa"/>
                  <w:bottom w:w="0" w:type="dxa"/>
                  <w:right w:w="108" w:type="dxa"/>
                </w:tblCellMar>
              </w:tblPrEx>
              <w:trPr>
                <w:trHeight w:val="1267" w:hRule="atLeast"/>
              </w:trPr>
              <w:tc>
                <w:tcPr>
                  <w:tcW w:w="396"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both"/>
                    <w:rPr>
                      <w:rFonts w:hint="eastAsia" w:ascii="宋体" w:hAnsi="宋体" w:cs="宋体" w:eastAsiaTheme="minorEastAsia"/>
                      <w:color w:val="auto"/>
                      <w:kern w:val="2"/>
                      <w:szCs w:val="21"/>
                      <w:lang w:eastAsia="zh-CN"/>
                    </w:rPr>
                  </w:pPr>
                  <w:r>
                    <w:rPr>
                      <w:rFonts w:hint="eastAsia" w:ascii="宋体" w:hAnsi="宋体" w:cs="宋体"/>
                      <w:color w:val="auto"/>
                      <w:kern w:val="2"/>
                      <w:szCs w:val="21"/>
                      <w:lang w:val="en-US" w:eastAsia="zh-CN"/>
                    </w:rPr>
                    <w:t>说明</w:t>
                  </w:r>
                </w:p>
              </w:tc>
              <w:tc>
                <w:tcPr>
                  <w:tcW w:w="4603"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rPr>
                      <w:rFonts w:ascii="宋体" w:hAnsi="宋体" w:cs="宋体"/>
                      <w:b/>
                      <w:color w:val="auto"/>
                      <w:kern w:val="2"/>
                      <w:szCs w:val="21"/>
                    </w:rPr>
                  </w:pPr>
                  <w:r>
                    <w:rPr>
                      <w:rFonts w:hint="eastAsia" w:ascii="宋体" w:hAnsi="宋体" w:cs="宋体"/>
                      <w:color w:val="auto"/>
                      <w:szCs w:val="21"/>
                      <w:highlight w:val="none"/>
                    </w:rPr>
                    <w:t>以上设施设备是完成河面保洁作业的基本要求，</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应根据工作实际情况随时增置设施设备，保证满足河面保洁需要和质量验评标准。所有机动艇都应具有船舶检验证书，人力艇配备消防器材。</w:t>
                  </w:r>
                </w:p>
              </w:tc>
            </w:tr>
          </w:tbl>
          <w:p>
            <w:pPr>
              <w:numPr>
                <w:ilvl w:val="0"/>
                <w:numId w:val="0"/>
              </w:numPr>
              <w:spacing w:line="360" w:lineRule="auto"/>
              <w:ind w:leftChars="0"/>
              <w:rPr>
                <w:rFonts w:hint="eastAsia" w:ascii="宋体" w:hAnsi="宋体"/>
                <w:color w:val="auto"/>
                <w:szCs w:val="21"/>
                <w:highlight w:val="none"/>
              </w:rPr>
            </w:pPr>
            <w:r>
              <w:rPr>
                <w:color w:val="auto"/>
                <w:highlight w:val="none"/>
              </w:rPr>
              <w:t>★</w:t>
            </w:r>
            <w:r>
              <w:rPr>
                <w:rFonts w:hint="eastAsia" w:ascii="宋体" w:hAnsi="宋体"/>
                <w:color w:val="auto"/>
                <w:szCs w:val="21"/>
                <w:highlight w:val="none"/>
              </w:rPr>
              <w:t>若投标时未能按上述要求提供以上</w:t>
            </w:r>
            <w:r>
              <w:rPr>
                <w:rFonts w:hint="eastAsia" w:ascii="宋体" w:hAnsi="宋体"/>
                <w:color w:val="auto"/>
                <w:szCs w:val="21"/>
                <w:highlight w:val="none"/>
                <w:lang w:val="en-US" w:eastAsia="zh-CN"/>
              </w:rPr>
              <w:t>设施设备</w:t>
            </w:r>
            <w:r>
              <w:rPr>
                <w:rFonts w:hint="eastAsia" w:ascii="宋体" w:hAnsi="宋体"/>
                <w:color w:val="auto"/>
                <w:szCs w:val="21"/>
                <w:highlight w:val="none"/>
              </w:rPr>
              <w:t>的，可以在</w:t>
            </w:r>
            <w:r>
              <w:rPr>
                <w:rFonts w:hint="eastAsia" w:ascii="宋体" w:hAnsi="宋体"/>
                <w:color w:val="auto"/>
                <w:szCs w:val="21"/>
                <w:highlight w:val="none"/>
                <w:lang w:val="en-US" w:eastAsia="zh-CN"/>
              </w:rPr>
              <w:t>磋商</w:t>
            </w:r>
            <w:r>
              <w:rPr>
                <w:rFonts w:hint="eastAsia" w:ascii="宋体" w:hAnsi="宋体"/>
                <w:color w:val="auto"/>
                <w:szCs w:val="21"/>
                <w:highlight w:val="none"/>
              </w:rPr>
              <w:t>文件中提供相关承诺（承诺函须加盖公章，格式自行编制，承诺函内容包括但不限于以下内容：若我单位中标，在</w:t>
            </w:r>
            <w:r>
              <w:rPr>
                <w:rFonts w:hint="eastAsia" w:ascii="宋体" w:hAnsi="宋体"/>
                <w:color w:val="auto"/>
                <w:szCs w:val="21"/>
                <w:highlight w:val="none"/>
                <w:lang w:val="en-US" w:eastAsia="zh-CN"/>
              </w:rPr>
              <w:t>中标通知书发出之日起15日内，</w:t>
            </w:r>
            <w:r>
              <w:rPr>
                <w:rFonts w:hint="eastAsia" w:ascii="宋体" w:hAnsi="宋体"/>
                <w:color w:val="auto"/>
                <w:szCs w:val="21"/>
                <w:highlight w:val="none"/>
              </w:rPr>
              <w:t>签订合同前，保证按</w:t>
            </w:r>
            <w:r>
              <w:rPr>
                <w:rFonts w:hint="eastAsia" w:ascii="宋体" w:hAnsi="宋体"/>
                <w:color w:val="auto"/>
                <w:szCs w:val="21"/>
                <w:highlight w:val="none"/>
                <w:lang w:val="en-US" w:eastAsia="zh-CN"/>
              </w:rPr>
              <w:t>磋商</w:t>
            </w:r>
            <w:r>
              <w:rPr>
                <w:rFonts w:hint="eastAsia" w:ascii="宋体" w:hAnsi="宋体"/>
                <w:color w:val="auto"/>
                <w:szCs w:val="21"/>
                <w:highlight w:val="none"/>
              </w:rPr>
              <w:t>文件要求提供</w:t>
            </w:r>
            <w:r>
              <w:rPr>
                <w:rFonts w:hint="eastAsia" w:ascii="宋体" w:hAnsi="宋体"/>
                <w:color w:val="auto"/>
                <w:szCs w:val="21"/>
                <w:highlight w:val="none"/>
                <w:lang w:val="en-US" w:eastAsia="zh-CN"/>
              </w:rPr>
              <w:t>相关设施设备</w:t>
            </w:r>
            <w:r>
              <w:rPr>
                <w:rFonts w:hint="eastAsia" w:ascii="宋体" w:hAnsi="宋体"/>
                <w:color w:val="auto"/>
                <w:szCs w:val="21"/>
                <w:highlight w:val="none"/>
              </w:rPr>
              <w:t>，并提供相关</w:t>
            </w:r>
            <w:r>
              <w:rPr>
                <w:rFonts w:hint="eastAsia" w:ascii="宋体" w:hAnsi="宋体"/>
                <w:color w:val="auto"/>
                <w:szCs w:val="21"/>
                <w:highlight w:val="none"/>
                <w:lang w:val="en-US" w:eastAsia="zh-CN"/>
              </w:rPr>
              <w:t>设施设备发票或租赁协议</w:t>
            </w:r>
            <w:r>
              <w:rPr>
                <w:rFonts w:hint="eastAsia" w:ascii="宋体" w:hAnsi="宋体"/>
                <w:color w:val="auto"/>
                <w:szCs w:val="21"/>
                <w:highlight w:val="none"/>
              </w:rPr>
              <w:t>原件供采购人查验，否则视为我单位放弃中标资格。）</w:t>
            </w:r>
          </w:p>
          <w:p>
            <w:pPr>
              <w:numPr>
                <w:ilvl w:val="0"/>
                <w:numId w:val="4"/>
              </w:numPr>
              <w:spacing w:line="360" w:lineRule="auto"/>
              <w:rPr>
                <w:rFonts w:hint="eastAsia" w:ascii="宋体" w:hAnsi="宋体"/>
                <w:color w:val="auto"/>
                <w:szCs w:val="21"/>
                <w:highlight w:val="none"/>
              </w:rPr>
            </w:pPr>
            <w:r>
              <w:rPr>
                <w:rFonts w:hint="eastAsia" w:ascii="宋体" w:hAnsi="宋体"/>
                <w:color w:val="auto"/>
                <w:szCs w:val="21"/>
                <w:highlight w:val="none"/>
              </w:rPr>
              <w:t>船只、车辆外观必须整齐美观无破损、工作状态良好。</w:t>
            </w:r>
          </w:p>
          <w:p>
            <w:pPr>
              <w:numPr>
                <w:ilvl w:val="0"/>
                <w:numId w:val="4"/>
              </w:numPr>
              <w:spacing w:line="360" w:lineRule="auto"/>
              <w:rPr>
                <w:rFonts w:hint="eastAsia" w:ascii="宋体" w:hAnsi="宋体"/>
                <w:color w:val="auto"/>
                <w:szCs w:val="21"/>
                <w:highlight w:val="none"/>
              </w:rPr>
            </w:pPr>
            <w:r>
              <w:rPr>
                <w:rFonts w:hint="eastAsia" w:ascii="宋体" w:hAnsi="宋体"/>
                <w:color w:val="auto"/>
                <w:szCs w:val="21"/>
                <w:highlight w:val="none"/>
              </w:rPr>
              <w:t>建立船只配套设施的定期维护、保养制度，做好登记工作。</w:t>
            </w:r>
          </w:p>
          <w:p>
            <w:pPr>
              <w:pStyle w:val="7"/>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b/>
                <w:color w:val="auto"/>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所有船只必须购买公众责任保险或相关险种，作业人员也必须购买意外险。</w:t>
            </w:r>
            <w:r>
              <w:rPr>
                <w:rFonts w:hint="eastAsia" w:ascii="宋体" w:hAnsi="宋体"/>
                <w:color w:val="auto"/>
                <w:szCs w:val="21"/>
                <w:highlight w:val="none"/>
                <w:lang w:val="en-US" w:eastAsia="zh-CN"/>
              </w:rPr>
              <w:t>所购买的公众责任保险的保单累计赔偿限额不得低于人民币500万元。因购买保险所产生的全部费用由成交供应商承担。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06" w:hRule="atLeast"/>
        </w:trPr>
        <w:tc>
          <w:tcPr>
            <w:tcW w:w="767" w:type="dxa"/>
          </w:tcPr>
          <w:p>
            <w:pPr>
              <w:keepNext w:val="0"/>
              <w:keepLines w:val="0"/>
              <w:pageBreakBefore w:val="0"/>
              <w:kinsoku/>
              <w:wordWrap/>
              <w:overflowPunct/>
              <w:topLinePunct w:val="0"/>
              <w:autoSpaceDE/>
              <w:autoSpaceDN/>
              <w:bidi w:val="0"/>
              <w:adjustRightInd/>
              <w:snapToGrid/>
              <w:spacing w:line="360" w:lineRule="auto"/>
              <w:textAlignment w:val="auto"/>
              <w:rPr>
                <w:color w:val="auto"/>
              </w:rPr>
            </w:pPr>
          </w:p>
        </w:tc>
        <w:tc>
          <w:tcPr>
            <w:tcW w:w="627"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5</w:t>
            </w:r>
          </w:p>
        </w:tc>
        <w:tc>
          <w:tcPr>
            <w:tcW w:w="8245" w:type="dxa"/>
          </w:tcPr>
          <w:p>
            <w:pPr>
              <w:pStyle w:val="7"/>
              <w:keepNext w:val="0"/>
              <w:keepLines w:val="0"/>
              <w:pageBreakBefore w:val="0"/>
              <w:numPr>
                <w:ilvl w:val="0"/>
                <w:numId w:val="1"/>
              </w:numPr>
              <w:kinsoku/>
              <w:wordWrap/>
              <w:overflowPunct/>
              <w:topLinePunct w:val="0"/>
              <w:autoSpaceDE/>
              <w:autoSpaceDN/>
              <w:bidi w:val="0"/>
              <w:adjustRightInd/>
              <w:snapToGrid/>
              <w:spacing w:line="360" w:lineRule="auto"/>
              <w:ind w:left="-480" w:leftChars="0" w:firstLine="480" w:firstLineChars="0"/>
              <w:jc w:val="both"/>
              <w:textAlignment w:val="auto"/>
              <w:rPr>
                <w:b/>
                <w:color w:val="auto"/>
                <w:sz w:val="21"/>
              </w:rPr>
            </w:pPr>
            <w:r>
              <w:rPr>
                <w:rFonts w:hint="eastAsia"/>
                <w:b/>
                <w:color w:val="auto"/>
                <w:sz w:val="21"/>
                <w:lang w:val="en-US" w:eastAsia="zh-CN"/>
              </w:rPr>
              <w:t>附件</w:t>
            </w:r>
            <w:r>
              <w:rPr>
                <w:b/>
                <w:color w:val="auto"/>
                <w:sz w:val="21"/>
              </w:rPr>
              <w:t>：</w:t>
            </w:r>
          </w:p>
          <w:p>
            <w:pPr>
              <w:widowControl w:val="0"/>
              <w:tabs>
                <w:tab w:val="left" w:pos="540"/>
                <w:tab w:val="left" w:pos="720"/>
                <w:tab w:val="left" w:pos="840"/>
              </w:tabs>
              <w:spacing w:line="360"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附件1：《河涌河面保洁作业要求》</w:t>
            </w:r>
          </w:p>
          <w:p>
            <w:pPr>
              <w:widowControl w:val="0"/>
              <w:tabs>
                <w:tab w:val="left" w:pos="540"/>
                <w:tab w:val="left" w:pos="720"/>
                <w:tab w:val="left" w:pos="840"/>
              </w:tabs>
              <w:spacing w:line="360"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附件2：《</w:t>
            </w:r>
            <w:r>
              <w:rPr>
                <w:rFonts w:hint="eastAsia" w:ascii="宋体" w:hAnsi="宋体" w:eastAsia="宋体" w:cs="宋体"/>
                <w:b w:val="0"/>
                <w:bCs w:val="0"/>
                <w:color w:val="auto"/>
                <w:kern w:val="2"/>
                <w:sz w:val="21"/>
                <w:szCs w:val="21"/>
              </w:rPr>
              <w:t>河涌河面保洁作业质量验评标准</w:t>
            </w:r>
            <w:r>
              <w:rPr>
                <w:rFonts w:hint="eastAsia" w:ascii="宋体" w:hAnsi="宋体" w:eastAsia="宋体" w:cs="宋体"/>
                <w:color w:val="auto"/>
                <w:sz w:val="21"/>
                <w:szCs w:val="21"/>
              </w:rPr>
              <w:t>》</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：《河</w:t>
            </w:r>
            <w:r>
              <w:rPr>
                <w:rFonts w:hint="eastAsia" w:ascii="宋体" w:hAnsi="宋体" w:eastAsia="宋体" w:cs="宋体"/>
                <w:bCs/>
                <w:color w:val="auto"/>
                <w:sz w:val="21"/>
                <w:szCs w:val="21"/>
              </w:rPr>
              <w:t>涌河面保洁</w:t>
            </w:r>
            <w:r>
              <w:rPr>
                <w:rFonts w:hint="eastAsia" w:ascii="宋体" w:hAnsi="宋体" w:eastAsia="宋体" w:cs="宋体"/>
                <w:color w:val="auto"/>
                <w:sz w:val="21"/>
                <w:szCs w:val="21"/>
              </w:rPr>
              <w:t>设施设备清单及要求》</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附件1：</w:t>
            </w:r>
          </w:p>
          <w:p>
            <w:pPr>
              <w:ind w:firstLine="567"/>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河涌河面保洁作业要求</w:t>
            </w:r>
          </w:p>
          <w:p>
            <w:pPr>
              <w:spacing w:line="460" w:lineRule="exact"/>
              <w:ind w:firstLine="567"/>
              <w:jc w:val="center"/>
              <w:rPr>
                <w:rFonts w:hint="eastAsia" w:ascii="宋体" w:hAnsi="宋体" w:eastAsia="宋体" w:cs="宋体"/>
                <w:b/>
                <w:color w:val="auto"/>
                <w:sz w:val="21"/>
                <w:szCs w:val="21"/>
              </w:rPr>
            </w:pPr>
          </w:p>
          <w:p>
            <w:pPr>
              <w:spacing w:line="4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为加强城市环境卫生管理,提高</w:t>
            </w:r>
            <w:r>
              <w:rPr>
                <w:rFonts w:hint="eastAsia" w:ascii="宋体" w:hAnsi="宋体" w:eastAsia="宋体" w:cs="宋体"/>
                <w:color w:val="auto"/>
                <w:sz w:val="21"/>
                <w:szCs w:val="21"/>
                <w:lang w:eastAsia="zh-CN"/>
              </w:rPr>
              <w:t>南朗街道</w:t>
            </w:r>
            <w:r>
              <w:rPr>
                <w:rFonts w:hint="eastAsia" w:ascii="宋体" w:hAnsi="宋体" w:eastAsia="宋体" w:cs="宋体"/>
                <w:color w:val="auto"/>
                <w:sz w:val="21"/>
                <w:szCs w:val="21"/>
              </w:rPr>
              <w:t>环境卫生质量，建设清洁、优美、文明</w:t>
            </w:r>
            <w:r>
              <w:rPr>
                <w:rFonts w:hint="eastAsia" w:ascii="宋体" w:hAnsi="宋体" w:eastAsia="宋体" w:cs="宋体"/>
                <w:color w:val="auto"/>
                <w:sz w:val="21"/>
                <w:szCs w:val="21"/>
              </w:rPr>
              <w:softHyphen/>
            </w:r>
            <w:r>
              <w:rPr>
                <w:rFonts w:hint="eastAsia" w:ascii="宋体" w:hAnsi="宋体" w:eastAsia="宋体" w:cs="宋体"/>
                <w:color w:val="auto"/>
                <w:sz w:val="21"/>
                <w:szCs w:val="21"/>
              </w:rPr>
              <w:t>的现代化城市，现根据《城市环境卫生质量标准》、《全国城市卫生检查评比标准》和《中山市城区环境卫生管理办法》，结合</w:t>
            </w:r>
            <w:r>
              <w:rPr>
                <w:rFonts w:hint="eastAsia" w:ascii="宋体" w:hAnsi="宋体" w:eastAsia="宋体" w:cs="宋体"/>
                <w:color w:val="auto"/>
                <w:sz w:val="21"/>
                <w:szCs w:val="21"/>
                <w:lang w:eastAsia="zh-CN"/>
              </w:rPr>
              <w:t>南朗街道的</w:t>
            </w:r>
            <w:r>
              <w:rPr>
                <w:rFonts w:hint="eastAsia" w:ascii="宋体" w:hAnsi="宋体" w:eastAsia="宋体" w:cs="宋体"/>
                <w:color w:val="auto"/>
                <w:sz w:val="21"/>
                <w:szCs w:val="21"/>
              </w:rPr>
              <w:t>河涌保洁的实际情况，制定本要求。</w:t>
            </w:r>
          </w:p>
          <w:p>
            <w:pPr>
              <w:spacing w:line="440" w:lineRule="exact"/>
              <w:ind w:firstLine="420" w:firstLineChars="200"/>
              <w:rPr>
                <w:rFonts w:hAnsi="宋体"/>
                <w:color w:val="auto"/>
                <w:sz w:val="21"/>
                <w:szCs w:val="21"/>
              </w:rPr>
            </w:pPr>
            <w:r>
              <w:rPr>
                <w:rFonts w:hint="eastAsia" w:hAnsi="宋体"/>
                <w:color w:val="auto"/>
                <w:sz w:val="21"/>
                <w:szCs w:val="21"/>
              </w:rPr>
              <w:t>一、总则</w:t>
            </w:r>
          </w:p>
          <w:p>
            <w:pPr>
              <w:spacing w:line="440" w:lineRule="exact"/>
              <w:ind w:firstLine="420" w:firstLineChars="200"/>
              <w:rPr>
                <w:rFonts w:hAnsi="宋体"/>
                <w:color w:val="auto"/>
                <w:sz w:val="21"/>
                <w:szCs w:val="21"/>
              </w:rPr>
            </w:pPr>
            <w:r>
              <w:rPr>
                <w:rFonts w:hint="eastAsia" w:hAnsi="宋体"/>
                <w:color w:val="auto"/>
                <w:sz w:val="21"/>
                <w:szCs w:val="21"/>
              </w:rPr>
              <w:t>（一）严格按照国家、省、市环境卫生管理法规、以及本管理办法的质量要求，做好</w:t>
            </w:r>
            <w:r>
              <w:rPr>
                <w:rFonts w:hint="eastAsia" w:hAnsi="宋体"/>
                <w:color w:val="auto"/>
                <w:sz w:val="21"/>
                <w:szCs w:val="21"/>
                <w:lang w:eastAsia="zh-CN"/>
              </w:rPr>
              <w:t>相关河涌保洁工作</w:t>
            </w:r>
            <w:r>
              <w:rPr>
                <w:rFonts w:hint="eastAsia" w:hAnsi="宋体"/>
                <w:color w:val="auto"/>
                <w:sz w:val="21"/>
                <w:szCs w:val="21"/>
              </w:rPr>
              <w:t>，完成</w:t>
            </w:r>
            <w:r>
              <w:rPr>
                <w:rFonts w:hint="eastAsia" w:hAnsi="宋体"/>
                <w:color w:val="auto"/>
                <w:sz w:val="21"/>
                <w:szCs w:val="21"/>
                <w:lang w:eastAsia="zh-CN"/>
              </w:rPr>
              <w:t>采购人</w:t>
            </w:r>
            <w:r>
              <w:rPr>
                <w:rFonts w:hint="eastAsia" w:hAnsi="宋体"/>
                <w:color w:val="auto"/>
                <w:sz w:val="21"/>
                <w:szCs w:val="21"/>
              </w:rPr>
              <w:t>传达的各项任务。</w:t>
            </w:r>
          </w:p>
          <w:p>
            <w:pPr>
              <w:spacing w:line="440" w:lineRule="exact"/>
              <w:ind w:firstLine="420" w:firstLineChars="200"/>
              <w:rPr>
                <w:rFonts w:hAnsi="宋体"/>
                <w:color w:val="auto"/>
                <w:sz w:val="21"/>
                <w:szCs w:val="21"/>
              </w:rPr>
            </w:pPr>
            <w:r>
              <w:rPr>
                <w:rFonts w:hint="eastAsia" w:hAnsi="宋体"/>
                <w:color w:val="auto"/>
                <w:sz w:val="21"/>
                <w:szCs w:val="21"/>
              </w:rPr>
              <w:t>（二）按照</w:t>
            </w:r>
            <w:r>
              <w:rPr>
                <w:rFonts w:hint="eastAsia" w:hAnsi="宋体"/>
                <w:color w:val="auto"/>
                <w:sz w:val="21"/>
                <w:szCs w:val="21"/>
                <w:lang w:eastAsia="zh-CN"/>
              </w:rPr>
              <w:t>磋商文件</w:t>
            </w:r>
            <w:r>
              <w:rPr>
                <w:rFonts w:hint="eastAsia" w:hAnsi="宋体"/>
                <w:color w:val="auto"/>
                <w:sz w:val="21"/>
                <w:szCs w:val="21"/>
              </w:rPr>
              <w:t>以及承包合同编制环卫作业方案，列明保证质量、安全、文明作业等措施，一并报</w:t>
            </w:r>
            <w:r>
              <w:rPr>
                <w:rFonts w:hint="eastAsia" w:hAnsi="宋体"/>
                <w:color w:val="auto"/>
                <w:sz w:val="21"/>
                <w:szCs w:val="21"/>
                <w:lang w:eastAsia="zh-CN"/>
              </w:rPr>
              <w:t>采购人</w:t>
            </w:r>
            <w:r>
              <w:rPr>
                <w:rFonts w:hint="eastAsia" w:hAnsi="宋体"/>
                <w:color w:val="auto"/>
                <w:sz w:val="21"/>
                <w:szCs w:val="21"/>
              </w:rPr>
              <w:t>审批后实施。若方案需要更改时应提前向</w:t>
            </w:r>
            <w:r>
              <w:rPr>
                <w:rFonts w:hint="eastAsia" w:hAnsi="宋体"/>
                <w:color w:val="auto"/>
                <w:sz w:val="21"/>
                <w:szCs w:val="21"/>
                <w:lang w:eastAsia="zh-CN"/>
              </w:rPr>
              <w:t>采购人</w:t>
            </w:r>
            <w:r>
              <w:rPr>
                <w:rFonts w:hint="eastAsia" w:hAnsi="宋体"/>
                <w:color w:val="auto"/>
                <w:sz w:val="21"/>
                <w:szCs w:val="21"/>
              </w:rPr>
              <w:t>提出书面申请，经</w:t>
            </w:r>
            <w:r>
              <w:rPr>
                <w:rFonts w:hint="eastAsia" w:hAnsi="宋体"/>
                <w:color w:val="auto"/>
                <w:sz w:val="21"/>
                <w:szCs w:val="21"/>
                <w:lang w:eastAsia="zh-CN"/>
              </w:rPr>
              <w:t>采购人</w:t>
            </w:r>
            <w:r>
              <w:rPr>
                <w:rFonts w:hint="eastAsia" w:hAnsi="宋体"/>
                <w:color w:val="auto"/>
                <w:sz w:val="21"/>
                <w:szCs w:val="21"/>
              </w:rPr>
              <w:t>同意后方可变更。</w:t>
            </w:r>
          </w:p>
          <w:p>
            <w:pPr>
              <w:spacing w:line="440" w:lineRule="exact"/>
              <w:ind w:firstLine="420" w:firstLineChars="200"/>
              <w:rPr>
                <w:rFonts w:hAnsi="宋体"/>
                <w:color w:val="auto"/>
                <w:sz w:val="21"/>
                <w:szCs w:val="21"/>
              </w:rPr>
            </w:pPr>
            <w:r>
              <w:rPr>
                <w:rFonts w:hint="eastAsia" w:hAnsi="宋体"/>
                <w:color w:val="auto"/>
                <w:sz w:val="21"/>
                <w:szCs w:val="21"/>
              </w:rPr>
              <w:t>（三）对</w:t>
            </w:r>
            <w:r>
              <w:rPr>
                <w:rFonts w:hint="eastAsia" w:hAnsi="宋体"/>
                <w:color w:val="auto"/>
                <w:sz w:val="21"/>
                <w:szCs w:val="21"/>
                <w:lang w:eastAsia="zh-CN"/>
              </w:rPr>
              <w:t>采购人</w:t>
            </w:r>
            <w:r>
              <w:rPr>
                <w:rFonts w:hint="eastAsia" w:hAnsi="宋体"/>
                <w:color w:val="auto"/>
                <w:sz w:val="21"/>
                <w:szCs w:val="21"/>
              </w:rPr>
              <w:t>提供的环卫设施，不得随意更改用途，需更改时应提前向</w:t>
            </w:r>
            <w:r>
              <w:rPr>
                <w:rFonts w:hint="eastAsia" w:hAnsi="宋体"/>
                <w:color w:val="auto"/>
                <w:sz w:val="21"/>
                <w:szCs w:val="21"/>
                <w:lang w:eastAsia="zh-CN"/>
              </w:rPr>
              <w:t>采购人</w:t>
            </w:r>
            <w:r>
              <w:rPr>
                <w:rFonts w:hint="eastAsia" w:hAnsi="宋体"/>
                <w:color w:val="auto"/>
                <w:sz w:val="21"/>
                <w:szCs w:val="21"/>
              </w:rPr>
              <w:t>提出书面申请，经同意后方可实施。</w:t>
            </w:r>
          </w:p>
          <w:p>
            <w:pPr>
              <w:spacing w:line="440" w:lineRule="exact"/>
              <w:ind w:firstLine="420" w:firstLineChars="200"/>
              <w:rPr>
                <w:rFonts w:hAnsi="宋体"/>
                <w:color w:val="auto"/>
                <w:sz w:val="21"/>
                <w:szCs w:val="21"/>
              </w:rPr>
            </w:pPr>
            <w:r>
              <w:rPr>
                <w:rFonts w:hint="eastAsia" w:hAnsi="宋体"/>
                <w:color w:val="auto"/>
                <w:sz w:val="21"/>
                <w:szCs w:val="21"/>
              </w:rPr>
              <w:t>（四）设置项目负责人，专职负责现场的管理工作。</w:t>
            </w:r>
          </w:p>
          <w:p>
            <w:pPr>
              <w:spacing w:line="440" w:lineRule="exact"/>
              <w:ind w:firstLine="420" w:firstLineChars="200"/>
              <w:rPr>
                <w:rFonts w:hAnsi="宋体"/>
                <w:color w:val="auto"/>
                <w:sz w:val="21"/>
                <w:szCs w:val="21"/>
              </w:rPr>
            </w:pPr>
            <w:r>
              <w:rPr>
                <w:rFonts w:hint="eastAsia" w:hAnsi="宋体"/>
                <w:color w:val="auto"/>
                <w:sz w:val="21"/>
                <w:szCs w:val="21"/>
              </w:rPr>
              <w:t>（五）项目负责人以及其他管理人员无条件接受</w:t>
            </w:r>
            <w:r>
              <w:rPr>
                <w:rFonts w:hint="eastAsia" w:hAnsi="宋体"/>
                <w:color w:val="auto"/>
                <w:sz w:val="21"/>
                <w:szCs w:val="21"/>
                <w:lang w:eastAsia="zh-CN"/>
              </w:rPr>
              <w:t>采购人</w:t>
            </w:r>
            <w:r>
              <w:rPr>
                <w:rFonts w:hint="eastAsia" w:hAnsi="宋体"/>
                <w:color w:val="auto"/>
                <w:sz w:val="21"/>
                <w:szCs w:val="21"/>
              </w:rPr>
              <w:t>的一票否决制度。（即</w:t>
            </w:r>
            <w:r>
              <w:rPr>
                <w:rFonts w:hint="eastAsia" w:hAnsi="宋体"/>
                <w:color w:val="auto"/>
                <w:sz w:val="21"/>
                <w:szCs w:val="21"/>
                <w:lang w:eastAsia="zh-CN"/>
              </w:rPr>
              <w:t>采购人</w:t>
            </w:r>
            <w:r>
              <w:rPr>
                <w:rFonts w:hint="eastAsia" w:hAnsi="宋体"/>
                <w:color w:val="auto"/>
                <w:sz w:val="21"/>
                <w:szCs w:val="21"/>
              </w:rPr>
              <w:t>有权随时勒令</w:t>
            </w:r>
            <w:r>
              <w:rPr>
                <w:rFonts w:hint="eastAsia" w:hAnsi="宋体"/>
                <w:color w:val="auto"/>
                <w:sz w:val="21"/>
                <w:szCs w:val="21"/>
                <w:lang w:eastAsia="zh-CN"/>
              </w:rPr>
              <w:t>成交供应商</w:t>
            </w:r>
            <w:r>
              <w:rPr>
                <w:rFonts w:hint="eastAsia" w:hAnsi="宋体"/>
                <w:color w:val="auto"/>
                <w:sz w:val="21"/>
                <w:szCs w:val="21"/>
              </w:rPr>
              <w:t>更换管理人员，无需任何理由，</w:t>
            </w:r>
            <w:r>
              <w:rPr>
                <w:rFonts w:hint="eastAsia" w:hAnsi="宋体"/>
                <w:color w:val="auto"/>
                <w:sz w:val="21"/>
                <w:szCs w:val="21"/>
                <w:lang w:eastAsia="zh-CN"/>
              </w:rPr>
              <w:t>成交供应商</w:t>
            </w:r>
            <w:r>
              <w:rPr>
                <w:rFonts w:hint="eastAsia" w:hAnsi="宋体"/>
                <w:color w:val="auto"/>
                <w:sz w:val="21"/>
                <w:szCs w:val="21"/>
              </w:rPr>
              <w:t>无条件执行）。</w:t>
            </w:r>
          </w:p>
          <w:p>
            <w:pPr>
              <w:spacing w:line="440" w:lineRule="exact"/>
              <w:ind w:firstLine="420" w:firstLineChars="200"/>
              <w:rPr>
                <w:rFonts w:hAnsi="宋体"/>
                <w:color w:val="auto"/>
                <w:sz w:val="21"/>
                <w:szCs w:val="21"/>
              </w:rPr>
            </w:pPr>
            <w:r>
              <w:rPr>
                <w:rFonts w:hint="eastAsia" w:hAnsi="宋体"/>
                <w:color w:val="auto"/>
                <w:sz w:val="21"/>
                <w:szCs w:val="21"/>
              </w:rPr>
              <w:t>（六）不能随意更改换管理人员，必须经采购人审批后方能更换，审批内容包括项管理人员调离以及调进许可等审批内容。</w:t>
            </w:r>
          </w:p>
          <w:p>
            <w:pPr>
              <w:numPr>
                <w:ilvl w:val="0"/>
                <w:numId w:val="0"/>
              </w:numPr>
              <w:snapToGrid w:val="0"/>
              <w:spacing w:line="360" w:lineRule="auto"/>
              <w:ind w:left="0" w:leftChars="0" w:firstLine="420" w:firstLineChars="200"/>
              <w:rPr>
                <w:rFonts w:hint="eastAsia" w:ascii="宋体" w:hAnsi="宋体" w:eastAsia="宋体" w:cs="宋体"/>
                <w:color w:val="auto"/>
                <w:sz w:val="21"/>
                <w:szCs w:val="21"/>
              </w:rPr>
            </w:pPr>
            <w:r>
              <w:rPr>
                <w:rFonts w:hint="eastAsia" w:hAnsi="宋体"/>
                <w:color w:val="auto"/>
                <w:sz w:val="21"/>
                <w:szCs w:val="21"/>
              </w:rPr>
              <w:t>（</w:t>
            </w:r>
            <w:r>
              <w:rPr>
                <w:rFonts w:hint="eastAsia" w:hAnsi="宋体"/>
                <w:color w:val="auto"/>
                <w:sz w:val="21"/>
                <w:szCs w:val="21"/>
                <w:lang w:val="en-US" w:eastAsia="zh-CN"/>
              </w:rPr>
              <w:t>七</w:t>
            </w:r>
            <w:r>
              <w:rPr>
                <w:rFonts w:hint="eastAsia" w:hAnsi="宋体"/>
                <w:color w:val="auto"/>
                <w:sz w:val="21"/>
                <w:szCs w:val="21"/>
              </w:rPr>
              <w:t>）</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应当制订应急预案，在“创文”、“创卫”、“美城行动”等重大活动期间和突遇紧急情况时，主要负责人要坚守岗位，服从采购人统一调配，积极组织精干力量全力保障。</w:t>
            </w:r>
          </w:p>
          <w:p>
            <w:pPr>
              <w:numPr>
                <w:ilvl w:val="0"/>
                <w:numId w:val="0"/>
              </w:numPr>
              <w:snapToGrid w:val="0"/>
              <w:spacing w:line="360" w:lineRule="auto"/>
              <w:ind w:left="0" w:leftChars="0" w:firstLine="420" w:firstLineChars="200"/>
              <w:rPr>
                <w:rFonts w:hint="eastAsia" w:ascii="宋体" w:hAnsi="宋体" w:eastAsia="宋体" w:cs="宋体"/>
                <w:b/>
                <w:bCs/>
                <w:color w:val="auto"/>
                <w:kern w:val="0"/>
                <w:sz w:val="21"/>
                <w:szCs w:val="21"/>
              </w:rPr>
            </w:pPr>
            <w:r>
              <w:rPr>
                <w:rFonts w:hint="eastAsia" w:hAnsi="宋体"/>
                <w:color w:val="auto"/>
                <w:sz w:val="21"/>
                <w:szCs w:val="21"/>
              </w:rPr>
              <w:t>（八）</w:t>
            </w:r>
            <w:r>
              <w:rPr>
                <w:rFonts w:hint="eastAsia" w:ascii="宋体" w:hAnsi="宋体" w:eastAsia="宋体" w:cs="宋体"/>
                <w:color w:val="auto"/>
                <w:sz w:val="21"/>
                <w:szCs w:val="21"/>
              </w:rPr>
              <w:t>突发事件（如道路污染）和自然灾害（如台风等）要及时清理现场，各种重大活动（包括国家、省、市大检查）及重大节假日、河长巡河等保洁工作，</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需按采购人要求及每次不同的标准达标到位，采购人不需额外支付相应费用。</w:t>
            </w:r>
          </w:p>
          <w:p>
            <w:pPr>
              <w:spacing w:line="440" w:lineRule="exact"/>
              <w:ind w:firstLine="420" w:firstLineChars="200"/>
              <w:rPr>
                <w:rFonts w:hAnsi="宋体"/>
                <w:color w:val="auto"/>
                <w:sz w:val="21"/>
                <w:szCs w:val="21"/>
              </w:rPr>
            </w:pPr>
            <w:r>
              <w:rPr>
                <w:rFonts w:hint="eastAsia" w:hAnsi="宋体"/>
                <w:color w:val="auto"/>
                <w:sz w:val="21"/>
                <w:szCs w:val="21"/>
              </w:rPr>
              <w:t>（</w:t>
            </w:r>
            <w:r>
              <w:rPr>
                <w:rFonts w:hint="eastAsia" w:hAnsi="宋体"/>
                <w:color w:val="auto"/>
                <w:sz w:val="21"/>
                <w:szCs w:val="21"/>
                <w:lang w:val="en-US" w:eastAsia="zh-CN"/>
              </w:rPr>
              <w:t>九</w:t>
            </w:r>
            <w:r>
              <w:rPr>
                <w:rFonts w:hint="eastAsia" w:hAnsi="宋体"/>
                <w:color w:val="auto"/>
                <w:sz w:val="21"/>
                <w:szCs w:val="21"/>
              </w:rPr>
              <w:t>）按要求向</w:t>
            </w:r>
            <w:r>
              <w:rPr>
                <w:rFonts w:hint="eastAsia" w:hAnsi="宋体"/>
                <w:color w:val="auto"/>
                <w:sz w:val="21"/>
                <w:szCs w:val="21"/>
                <w:lang w:eastAsia="zh-CN"/>
              </w:rPr>
              <w:t>采购人</w:t>
            </w:r>
            <w:r>
              <w:rPr>
                <w:rFonts w:hint="eastAsia" w:hAnsi="宋体"/>
                <w:color w:val="auto"/>
                <w:sz w:val="21"/>
                <w:szCs w:val="21"/>
              </w:rPr>
              <w:t>提供相关的环卫作业资料、报表等（包括人员、</w:t>
            </w:r>
            <w:r>
              <w:rPr>
                <w:rFonts w:hint="eastAsia" w:hAnsi="宋体"/>
                <w:color w:val="auto"/>
                <w:sz w:val="21"/>
                <w:szCs w:val="21"/>
                <w:lang w:eastAsia="zh-CN"/>
              </w:rPr>
              <w:t>船只、</w:t>
            </w:r>
            <w:r>
              <w:rPr>
                <w:rFonts w:hint="eastAsia" w:hAnsi="宋体"/>
                <w:color w:val="auto"/>
                <w:sz w:val="21"/>
                <w:szCs w:val="21"/>
              </w:rPr>
              <w:t>车辆档案）。</w:t>
            </w:r>
          </w:p>
          <w:p>
            <w:pPr>
              <w:spacing w:line="440" w:lineRule="exact"/>
              <w:ind w:firstLine="420" w:firstLineChars="200"/>
              <w:rPr>
                <w:rFonts w:hAnsi="宋体"/>
                <w:color w:val="auto"/>
                <w:sz w:val="21"/>
                <w:szCs w:val="21"/>
              </w:rPr>
            </w:pPr>
            <w:r>
              <w:rPr>
                <w:rFonts w:hint="eastAsia" w:hAnsi="宋体"/>
                <w:color w:val="auto"/>
                <w:sz w:val="21"/>
                <w:szCs w:val="21"/>
              </w:rPr>
              <w:t>（</w:t>
            </w:r>
            <w:r>
              <w:rPr>
                <w:rFonts w:hint="eastAsia" w:hAnsi="宋体"/>
                <w:color w:val="auto"/>
                <w:sz w:val="21"/>
                <w:szCs w:val="21"/>
                <w:lang w:val="en-US" w:eastAsia="zh-CN"/>
              </w:rPr>
              <w:t>十</w:t>
            </w:r>
            <w:r>
              <w:rPr>
                <w:rFonts w:hint="eastAsia" w:hAnsi="宋体"/>
                <w:color w:val="auto"/>
                <w:sz w:val="21"/>
                <w:szCs w:val="21"/>
              </w:rPr>
              <w:t>）遵守国家法律法规，教育、培训、督促员工遵纪守法。</w:t>
            </w:r>
          </w:p>
          <w:p>
            <w:pPr>
              <w:spacing w:line="440" w:lineRule="exact"/>
              <w:ind w:firstLine="420" w:firstLineChars="200"/>
              <w:rPr>
                <w:rFonts w:hAnsi="宋体"/>
                <w:color w:val="auto"/>
                <w:sz w:val="21"/>
                <w:szCs w:val="21"/>
              </w:rPr>
            </w:pPr>
            <w:r>
              <w:rPr>
                <w:rFonts w:hint="eastAsia" w:hAnsi="宋体"/>
                <w:color w:val="auto"/>
                <w:sz w:val="21"/>
                <w:szCs w:val="21"/>
              </w:rPr>
              <w:t>（十</w:t>
            </w:r>
            <w:r>
              <w:rPr>
                <w:rFonts w:hint="eastAsia" w:hAnsi="宋体"/>
                <w:color w:val="auto"/>
                <w:sz w:val="21"/>
                <w:szCs w:val="21"/>
                <w:lang w:val="en-US" w:eastAsia="zh-CN"/>
              </w:rPr>
              <w:t>一</w:t>
            </w:r>
            <w:r>
              <w:rPr>
                <w:rFonts w:hint="eastAsia" w:hAnsi="宋体"/>
                <w:color w:val="auto"/>
                <w:sz w:val="21"/>
                <w:szCs w:val="21"/>
              </w:rPr>
              <w:t>）每一季度组织至少一次的环卫作业及安全生产的培训。</w:t>
            </w:r>
          </w:p>
          <w:p>
            <w:pPr>
              <w:spacing w:line="440" w:lineRule="exact"/>
              <w:ind w:firstLine="420" w:firstLineChars="200"/>
              <w:rPr>
                <w:rFonts w:hAnsi="宋体"/>
                <w:color w:val="auto"/>
                <w:sz w:val="21"/>
                <w:szCs w:val="21"/>
              </w:rPr>
            </w:pPr>
            <w:r>
              <w:rPr>
                <w:rFonts w:hint="eastAsia" w:hAnsi="宋体"/>
                <w:color w:val="auto"/>
                <w:sz w:val="21"/>
                <w:szCs w:val="21"/>
              </w:rPr>
              <w:t>（十</w:t>
            </w:r>
            <w:r>
              <w:rPr>
                <w:rFonts w:hint="eastAsia" w:hAnsi="宋体"/>
                <w:color w:val="auto"/>
                <w:sz w:val="21"/>
                <w:szCs w:val="21"/>
                <w:lang w:val="en-US" w:eastAsia="zh-CN"/>
              </w:rPr>
              <w:t>二</w:t>
            </w:r>
            <w:r>
              <w:rPr>
                <w:rFonts w:hint="eastAsia" w:hAnsi="宋体"/>
                <w:color w:val="auto"/>
                <w:sz w:val="21"/>
                <w:szCs w:val="21"/>
              </w:rPr>
              <w:t>）抓好安全生产工作，遵守各项安全规章制度，落实安全措施。</w:t>
            </w:r>
          </w:p>
          <w:p>
            <w:pPr>
              <w:spacing w:line="440" w:lineRule="exact"/>
              <w:ind w:firstLine="420" w:firstLineChars="200"/>
              <w:rPr>
                <w:rFonts w:hAnsi="宋体"/>
                <w:color w:val="auto"/>
                <w:sz w:val="21"/>
                <w:szCs w:val="21"/>
              </w:rPr>
            </w:pPr>
            <w:r>
              <w:rPr>
                <w:rFonts w:hint="eastAsia" w:hAnsi="宋体"/>
                <w:color w:val="auto"/>
                <w:sz w:val="21"/>
                <w:szCs w:val="21"/>
              </w:rPr>
              <w:t>（十二）</w:t>
            </w:r>
            <w:r>
              <w:rPr>
                <w:rFonts w:hint="eastAsia" w:hAnsi="宋体"/>
                <w:color w:val="auto"/>
                <w:sz w:val="21"/>
                <w:szCs w:val="21"/>
                <w:lang w:eastAsia="zh-CN"/>
              </w:rPr>
              <w:t>成交供应商</w:t>
            </w:r>
            <w:r>
              <w:rPr>
                <w:rFonts w:hint="eastAsia" w:hAnsi="宋体"/>
                <w:color w:val="auto"/>
                <w:sz w:val="21"/>
                <w:szCs w:val="21"/>
              </w:rPr>
              <w:t>要承诺以诚信为本，以服务为宗旨，承诺所承包的环卫作业均达到采购人的质量要求，设施设备的更新维护均符合逐步机械化及安全要求，各项临时作业及整改通知均按要求及时完成。</w:t>
            </w:r>
          </w:p>
          <w:p>
            <w:pPr>
              <w:spacing w:line="440" w:lineRule="exact"/>
              <w:ind w:firstLine="420" w:firstLineChars="200"/>
              <w:rPr>
                <w:rFonts w:hAnsi="宋体"/>
                <w:color w:val="auto"/>
                <w:sz w:val="21"/>
                <w:szCs w:val="21"/>
              </w:rPr>
            </w:pPr>
            <w:r>
              <w:rPr>
                <w:rFonts w:hint="eastAsia" w:hAnsi="宋体"/>
                <w:color w:val="auto"/>
                <w:sz w:val="21"/>
                <w:szCs w:val="21"/>
              </w:rPr>
              <w:t>（十三）从事机动车驾驶人员或其他铲车操作等人员应按相关规定，具备相应驾驶证或资质证。</w:t>
            </w:r>
          </w:p>
          <w:p>
            <w:pPr>
              <w:spacing w:line="440" w:lineRule="exact"/>
              <w:ind w:firstLine="420" w:firstLineChars="200"/>
              <w:rPr>
                <w:rFonts w:hAnsi="宋体"/>
                <w:color w:val="auto"/>
                <w:sz w:val="21"/>
                <w:szCs w:val="21"/>
              </w:rPr>
            </w:pPr>
            <w:r>
              <w:rPr>
                <w:rFonts w:hint="eastAsia" w:hAnsi="宋体"/>
                <w:color w:val="auto"/>
                <w:sz w:val="21"/>
                <w:szCs w:val="21"/>
              </w:rPr>
              <w:t>（十四）对作业现场所出现的问题，</w:t>
            </w:r>
            <w:r>
              <w:rPr>
                <w:rFonts w:hint="eastAsia" w:hAnsi="宋体"/>
                <w:color w:val="auto"/>
                <w:sz w:val="21"/>
                <w:szCs w:val="21"/>
                <w:lang w:eastAsia="zh-CN"/>
              </w:rPr>
              <w:t>采购人</w:t>
            </w:r>
            <w:r>
              <w:rPr>
                <w:rFonts w:hint="eastAsia" w:hAnsi="宋体"/>
                <w:color w:val="auto"/>
                <w:sz w:val="21"/>
                <w:szCs w:val="21"/>
              </w:rPr>
              <w:t>原则上以书面形式告知</w:t>
            </w:r>
            <w:r>
              <w:rPr>
                <w:rFonts w:hint="eastAsia" w:hAnsi="宋体"/>
                <w:color w:val="auto"/>
                <w:sz w:val="21"/>
                <w:szCs w:val="21"/>
                <w:lang w:eastAsia="zh-CN"/>
              </w:rPr>
              <w:t>成交供应商</w:t>
            </w:r>
            <w:r>
              <w:rPr>
                <w:rFonts w:hint="eastAsia" w:hAnsi="宋体"/>
                <w:color w:val="auto"/>
                <w:sz w:val="21"/>
                <w:szCs w:val="21"/>
              </w:rPr>
              <w:t>，</w:t>
            </w:r>
            <w:r>
              <w:rPr>
                <w:rFonts w:hint="eastAsia" w:hAnsi="宋体"/>
                <w:color w:val="auto"/>
                <w:sz w:val="21"/>
                <w:szCs w:val="21"/>
                <w:lang w:eastAsia="zh-CN"/>
              </w:rPr>
              <w:t>成交供应商</w:t>
            </w:r>
            <w:r>
              <w:rPr>
                <w:rFonts w:hint="eastAsia" w:hAnsi="宋体"/>
                <w:color w:val="auto"/>
                <w:sz w:val="21"/>
                <w:szCs w:val="21"/>
              </w:rPr>
              <w:t>若对所反应的问题存在异议，可于收到通知后提出，但不能拒收。</w:t>
            </w:r>
          </w:p>
          <w:p>
            <w:pPr>
              <w:pStyle w:val="3"/>
              <w:rPr>
                <w:rFonts w:hint="eastAsia"/>
                <w:color w:val="auto"/>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二</w:t>
            </w:r>
            <w:r>
              <w:rPr>
                <w:rFonts w:hint="eastAsia" w:ascii="宋体" w:hAnsi="宋体" w:eastAsia="宋体" w:cs="宋体"/>
                <w:b/>
                <w:color w:val="auto"/>
                <w:sz w:val="21"/>
                <w:szCs w:val="21"/>
              </w:rPr>
              <w:t>、人员、设备要求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（一）人员</w:t>
            </w:r>
          </w:p>
          <w:p>
            <w:pPr>
              <w:widowControl w:val="0"/>
              <w:numPr>
                <w:ilvl w:val="0"/>
                <w:numId w:val="5"/>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总人数不少于22人，其中河面保洁现场作业人数不少于18人，按河段进行分工，如遇突发环境卫生事件需要增派人员，</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必须无条件服从发包方的增加作业人员的要求；</w:t>
            </w:r>
          </w:p>
          <w:p>
            <w:pPr>
              <w:widowControl w:val="0"/>
              <w:numPr>
                <w:ilvl w:val="0"/>
                <w:numId w:val="5"/>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设保洁区专职管理人员；</w:t>
            </w:r>
          </w:p>
          <w:p>
            <w:pPr>
              <w:widowControl w:val="0"/>
              <w:numPr>
                <w:ilvl w:val="0"/>
                <w:numId w:val="5"/>
              </w:num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每只作业船每航班次作业人员不少于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人,作业人员均需持证上岗。</w:t>
            </w:r>
          </w:p>
          <w:p>
            <w:pPr>
              <w:numPr>
                <w:ilvl w:val="0"/>
                <w:numId w:val="5"/>
              </w:numPr>
              <w:spacing w:line="360" w:lineRule="auto"/>
              <w:ind w:left="42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须设置保洁区专职管理人员，方便</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的管理和联系。</w:t>
            </w:r>
          </w:p>
          <w:p>
            <w:pPr>
              <w:numPr>
                <w:ilvl w:val="0"/>
                <w:numId w:val="5"/>
              </w:numPr>
              <w:spacing w:line="360" w:lineRule="auto"/>
              <w:ind w:left="42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保洁作业人员须每天按时完成河涌保洁任务。</w:t>
            </w:r>
          </w:p>
          <w:p>
            <w:pPr>
              <w:numPr>
                <w:ilvl w:val="0"/>
                <w:numId w:val="5"/>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严禁人力艇进入横门水道、横门口和桠洲围至虎池围海岸线作业。</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（二）设备要求（见附件3）</w:t>
            </w:r>
          </w:p>
          <w:p>
            <w:pPr>
              <w:widowControl w:val="0"/>
              <w:numPr>
                <w:ilvl w:val="0"/>
                <w:numId w:val="6"/>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最基本要求包括：6只垃圾打捞作业船（可装载</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人以上）,专用垃圾中转车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河面打捞垃圾工具1批</w:t>
            </w:r>
            <w:r>
              <w:rPr>
                <w:rFonts w:hint="eastAsia" w:ascii="宋体" w:hAnsi="宋体" w:cs="宋体"/>
                <w:color w:val="auto"/>
                <w:szCs w:val="21"/>
                <w:highlight w:val="none"/>
                <w:lang w:eastAsia="zh-CN"/>
              </w:rPr>
              <w:t>，</w:t>
            </w:r>
            <w:r>
              <w:rPr>
                <w:rFonts w:hint="eastAsia" w:ascii="宋体" w:hAnsi="宋体" w:cs="宋体"/>
                <w:color w:val="auto"/>
                <w:szCs w:val="21"/>
                <w:highlight w:val="none"/>
              </w:rPr>
              <w:t>救生衣（圈）1批</w:t>
            </w:r>
            <w:r>
              <w:rPr>
                <w:rFonts w:hint="eastAsia" w:ascii="宋体" w:hAnsi="宋体" w:eastAsia="宋体" w:cs="宋体"/>
                <w:color w:val="auto"/>
                <w:sz w:val="21"/>
                <w:szCs w:val="21"/>
                <w:highlight w:val="none"/>
              </w:rPr>
              <w:t>。</w:t>
            </w:r>
          </w:p>
          <w:p>
            <w:pPr>
              <w:widowControl w:val="0"/>
              <w:numPr>
                <w:ilvl w:val="0"/>
                <w:numId w:val="6"/>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船只、车辆外观必须整齐美观无破损、工作状态良好。</w:t>
            </w:r>
          </w:p>
          <w:p>
            <w:pPr>
              <w:widowControl w:val="0"/>
              <w:numPr>
                <w:ilvl w:val="0"/>
                <w:numId w:val="6"/>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建立船只配套设施的定期维护、保养制度，做好登记工作；</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所有船只必须符合船只监管相关部门的要求与规定</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5．所有船只必须购买第三者责任险或相关险种。</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（三）成交供应商</w:t>
            </w:r>
            <w:r>
              <w:rPr>
                <w:rFonts w:hint="eastAsia" w:ascii="宋体" w:hAnsi="宋体" w:eastAsia="宋体" w:cs="宋体"/>
                <w:color w:val="auto"/>
                <w:sz w:val="21"/>
                <w:szCs w:val="21"/>
                <w:highlight w:val="none"/>
              </w:rPr>
              <w:t>签订服务合同后，在保持或提升标准履行服务合同前提下，如可通过优化作业方案调整人员、车辆</w:t>
            </w:r>
            <w:r>
              <w:rPr>
                <w:rFonts w:hint="eastAsia" w:ascii="宋体" w:hAnsi="宋体" w:eastAsia="宋体" w:cs="宋体"/>
                <w:color w:val="auto"/>
                <w:sz w:val="21"/>
                <w:szCs w:val="21"/>
                <w:highlight w:val="none"/>
                <w:lang w:eastAsia="zh-CN"/>
              </w:rPr>
              <w:t>、船只和</w:t>
            </w:r>
            <w:r>
              <w:rPr>
                <w:rFonts w:hint="eastAsia" w:ascii="宋体" w:hAnsi="宋体" w:eastAsia="宋体" w:cs="宋体"/>
                <w:color w:val="auto"/>
                <w:sz w:val="21"/>
                <w:szCs w:val="21"/>
                <w:highlight w:val="none"/>
              </w:rPr>
              <w:t>设备配置要求的，需经采购人同意后变更。</w:t>
            </w:r>
          </w:p>
          <w:p>
            <w:pPr>
              <w:pStyle w:val="4"/>
              <w:rPr>
                <w:rFonts w:hint="eastAsia"/>
                <w:color w:val="auto"/>
                <w:lang w:eastAsia="zh-CN"/>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、作业要求</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河面保洁要求每天上午7：30—11：30，下午1：30—5：30</w:t>
            </w:r>
            <w:r>
              <w:rPr>
                <w:rFonts w:hint="eastAsia" w:ascii="宋体" w:hAnsi="宋体" w:eastAsia="宋体" w:cs="宋体"/>
                <w:color w:val="auto"/>
                <w:sz w:val="21"/>
                <w:szCs w:val="21"/>
                <w:highlight w:val="none"/>
                <w:lang w:eastAsia="zh-CN"/>
              </w:rPr>
              <w:t>。保洁期间负责清理打捞</w:t>
            </w:r>
            <w:r>
              <w:rPr>
                <w:rFonts w:hint="eastAsia" w:ascii="宋体" w:hAnsi="宋体" w:eastAsia="宋体" w:cs="宋体"/>
                <w:color w:val="auto"/>
                <w:sz w:val="21"/>
                <w:szCs w:val="21"/>
                <w:highlight w:val="none"/>
                <w:lang w:val="en-US" w:eastAsia="zh-CN"/>
              </w:rPr>
              <w:t>河涌内垃圾、杂草、水生植物、浮泥、废旧杂物等漂浮垃圾清捞、收集，及时打捞河床沉积、漂浮大件杂物（含树枝、家具等），清理岸坡杂草垃圾杂物。</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河面保洁要求每天保洁时间内不能有漂浮垃圾(含水浮莲,下同)和零星漂浮垃圾(含水浮莲)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水面无动物尸体。</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重大节日或检查需按采购人要求延长保洁时间。</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突发环境卫生事件（河道有大量飘浮垃圾）通知作业单位在半小时内须有作业船只、人员到现场清捞处理。</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作业期间不得影响水面交通和污染水体。因河面水位较低船只不能进入打捞时必须采取相应措施保证河道卫生质量。</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如遇到气象部门发布灾害天气或恶劣天气预警信号或防御指引中所示的天气情况，可暂停河面保洁作业（管理部门特殊要求除外），但必须在预警信号或防御指引消息解除后及时做好善后的河面保洁工作。</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船只和装载垃圾车辆应按载重规定，不得有垃圾吊挂或污水漏洒；保持船容和车容整洁。</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自行搭建垃圾转运码头，自备车辆将河涌垃圾杂物收集转运到垃圾站。</w:t>
            </w:r>
            <w:r>
              <w:rPr>
                <w:rFonts w:hint="eastAsia" w:ascii="宋体" w:hAnsi="宋体" w:eastAsia="宋体" w:cs="宋体"/>
                <w:color w:val="auto"/>
                <w:sz w:val="21"/>
                <w:szCs w:val="21"/>
                <w:highlight w:val="none"/>
              </w:rPr>
              <w:t>清捞的垃圾应按“朝不过午，晚不过夜”规定及时转运。</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每日作业完毕，做好当天作业情况记录。并将作业船只和作业场所清洗干净。</w:t>
            </w:r>
          </w:p>
          <w:p>
            <w:pPr>
              <w:widowControl w:val="0"/>
              <w:numPr>
                <w:ilvl w:val="0"/>
                <w:numId w:val="7"/>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每月5日前，按指定格式向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上报上月各类作业统计表和当月工作计划。</w:t>
            </w:r>
          </w:p>
          <w:p>
            <w:pPr>
              <w:widowControl w:val="0"/>
              <w:numPr>
                <w:ilvl w:val="0"/>
                <w:numId w:val="0"/>
              </w:numPr>
              <w:spacing w:line="360" w:lineRule="auto"/>
              <w:ind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、文明作业、安全生产要求</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作业单位应建立、健全各项安全管理制度和环卫作业机械安全操作规程，作业过程安全管理应符合国家、省、市各级海事、航道、水利等部门现行的有关规定。要建立安全生产责任人制度。</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设备操作人员和维护人员必须持证上岗，水上作业时船上应有救生器材，配置足够消防器材，并存放在显眼位置。</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建立自查自检制度。</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建立良好的职工队伍，水上作业人员应穿着统一的反光保护服装（含雨衣、水裤）。</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作业设施设备要保持清洁，安放有序。</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政府指令性任务和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发出的作业通知等要无条件服从，并积极完成（包括各级领导检查工作）。</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加强社会综合治理整治，全年无违法乱纪行为。</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建立船只防火安全制度和卫生制度，责任到人。</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遵守安全操作规程和操作技术规范。</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必须按国家有关法规为作业员工购买工伤保险和意外保险。</w:t>
            </w:r>
          </w:p>
          <w:p>
            <w:pPr>
              <w:widowControl w:val="0"/>
              <w:numPr>
                <w:ilvl w:val="0"/>
                <w:numId w:val="8"/>
              </w:num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每月应</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rPr>
              <w:t>支付保洁工人</w:t>
            </w:r>
            <w:r>
              <w:rPr>
                <w:rFonts w:hint="eastAsia" w:ascii="宋体" w:hAnsi="宋体" w:eastAsia="宋体" w:cs="宋体"/>
                <w:color w:val="auto"/>
                <w:sz w:val="21"/>
                <w:szCs w:val="21"/>
                <w:highlight w:val="none"/>
                <w:lang w:eastAsia="zh-CN"/>
              </w:rPr>
              <w:t>法律规定的各项薪酬</w:t>
            </w:r>
            <w:r>
              <w:rPr>
                <w:rFonts w:hint="eastAsia" w:ascii="宋体" w:hAnsi="宋体" w:eastAsia="宋体" w:cs="宋体"/>
                <w:color w:val="auto"/>
                <w:sz w:val="21"/>
                <w:szCs w:val="21"/>
                <w:highlight w:val="none"/>
              </w:rPr>
              <w:t>。</w:t>
            </w:r>
          </w:p>
          <w:p>
            <w:pPr>
              <w:spacing w:line="4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本要求由</w:t>
            </w:r>
            <w:r>
              <w:rPr>
                <w:rFonts w:hint="eastAsia" w:ascii="宋体" w:hAnsi="宋体" w:eastAsia="宋体" w:cs="宋体"/>
                <w:b w:val="0"/>
                <w:bCs/>
                <w:color w:val="auto"/>
                <w:sz w:val="21"/>
                <w:szCs w:val="21"/>
                <w:highlight w:val="none"/>
                <w:lang w:val="en-US" w:eastAsia="zh-CN"/>
              </w:rPr>
              <w:t>中山市南朗街道水务事务中心</w:t>
            </w:r>
            <w:r>
              <w:rPr>
                <w:rFonts w:hint="eastAsia" w:ascii="宋体" w:hAnsi="宋体" w:eastAsia="宋体" w:cs="宋体"/>
                <w:b w:val="0"/>
                <w:bCs/>
                <w:color w:val="auto"/>
                <w:sz w:val="21"/>
                <w:szCs w:val="21"/>
                <w:highlight w:val="none"/>
              </w:rPr>
              <w:t>负责解释。</w:t>
            </w:r>
          </w:p>
          <w:p>
            <w:pPr>
              <w:ind w:hanging="103"/>
              <w:rPr>
                <w:rFonts w:hint="eastAsia" w:ascii="宋体" w:hAnsi="宋体" w:eastAsia="宋体" w:cs="宋体"/>
                <w:b/>
                <w:color w:val="auto"/>
                <w:sz w:val="21"/>
                <w:szCs w:val="21"/>
                <w:highlight w:val="none"/>
              </w:rPr>
            </w:pPr>
            <w:bookmarkStart w:id="0" w:name="_GoBack"/>
            <w:bookmarkEnd w:id="0"/>
          </w:p>
          <w:p>
            <w:pPr>
              <w:rPr>
                <w:rFonts w:hint="eastAsia" w:ascii="宋体" w:hAnsi="宋体" w:eastAsia="宋体" w:cs="宋体"/>
                <w:b/>
                <w:color w:val="auto"/>
                <w:sz w:val="21"/>
                <w:szCs w:val="21"/>
                <w:highlight w:val="none"/>
              </w:rPr>
            </w:pPr>
          </w:p>
          <w:p>
            <w:pPr>
              <w:ind w:hanging="10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附件2：</w:t>
            </w:r>
          </w:p>
          <w:tbl>
            <w:tblPr>
              <w:tblStyle w:val="5"/>
              <w:tblW w:w="5000" w:type="pct"/>
              <w:tblInd w:w="0" w:type="dxa"/>
              <w:tblLayout w:type="fixed"/>
              <w:tblCellMar>
                <w:top w:w="0" w:type="dxa"/>
                <w:left w:w="108" w:type="dxa"/>
                <w:bottom w:w="0" w:type="dxa"/>
                <w:right w:w="108" w:type="dxa"/>
              </w:tblCellMar>
            </w:tblPr>
            <w:tblGrid>
              <w:gridCol w:w="583"/>
              <w:gridCol w:w="653"/>
              <w:gridCol w:w="393"/>
              <w:gridCol w:w="3185"/>
              <w:gridCol w:w="687"/>
              <w:gridCol w:w="468"/>
              <w:gridCol w:w="574"/>
              <w:gridCol w:w="1485"/>
            </w:tblGrid>
            <w:tr>
              <w:tblPrEx>
                <w:tblCellMar>
                  <w:top w:w="0" w:type="dxa"/>
                  <w:left w:w="108" w:type="dxa"/>
                  <w:bottom w:w="0" w:type="dxa"/>
                  <w:right w:w="108" w:type="dxa"/>
                </w:tblCellMar>
              </w:tblPrEx>
              <w:trPr>
                <w:trHeight w:val="750" w:hRule="atLeast"/>
              </w:trPr>
              <w:tc>
                <w:tcPr>
                  <w:tcW w:w="5000" w:type="pct"/>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河涌河面保洁作业质量验评标准</w:t>
                  </w:r>
                </w:p>
              </w:tc>
            </w:tr>
            <w:tr>
              <w:tblPrEx>
                <w:tblCellMar>
                  <w:top w:w="0" w:type="dxa"/>
                  <w:left w:w="108" w:type="dxa"/>
                  <w:bottom w:w="0" w:type="dxa"/>
                  <w:right w:w="108" w:type="dxa"/>
                </w:tblCellMar>
              </w:tblPrEx>
              <w:trPr>
                <w:trHeight w:val="1485" w:hRule="atLeast"/>
              </w:trPr>
              <w:tc>
                <w:tcPr>
                  <w:tcW w:w="5000" w:type="pct"/>
                  <w:gridSpan w:val="8"/>
                  <w:tcBorders>
                    <w:top w:val="nil"/>
                    <w:left w:val="nil"/>
                    <w:bottom w:val="nil"/>
                    <w:right w:val="nil"/>
                  </w:tcBorders>
                  <w:noWrap w:val="0"/>
                  <w:vAlign w:val="center"/>
                </w:tcPr>
                <w:p>
                  <w:pPr>
                    <w:pStyle w:val="7"/>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color w:val="auto"/>
                      <w:sz w:val="21"/>
                      <w:lang w:val="en-US" w:eastAsia="zh-CN"/>
                    </w:rPr>
                    <w:t>为加强城市环境卫生管理,提高中山市南朗街道环境卫生质量，建设清洁、优美、文明</w:t>
                  </w:r>
                  <w:r>
                    <w:rPr>
                      <w:rFonts w:hint="eastAsia"/>
                      <w:color w:val="auto"/>
                      <w:sz w:val="21"/>
                      <w:lang w:val="en-US" w:eastAsia="zh-CN"/>
                    </w:rPr>
                    <w:softHyphen/>
                  </w:r>
                  <w:r>
                    <w:rPr>
                      <w:rFonts w:hint="eastAsia"/>
                      <w:color w:val="auto"/>
                      <w:sz w:val="21"/>
                      <w:lang w:val="en-US" w:eastAsia="zh-CN"/>
                    </w:rPr>
                    <w:t>的现代化城市，现根据《城市环境卫生质量标准》、《全国城市卫生检查评比标准》和《中山市城区环境卫生管理办法》，结合南朗街道实际情况，制定本验评标准。中山市南朗街道水务事务中心根据工作实际，进行日常和月度检查。日常及月度综合检查在作业时间内进行，每月一次月度检查应有环卫作业单位的管理人员参加。</w:t>
                  </w:r>
                </w:p>
              </w:tc>
            </w:tr>
            <w:tr>
              <w:tblPrEx>
                <w:tblCellMar>
                  <w:top w:w="0" w:type="dxa"/>
                  <w:left w:w="108" w:type="dxa"/>
                  <w:bottom w:w="0" w:type="dxa"/>
                  <w:right w:w="108" w:type="dxa"/>
                </w:tblCellMar>
              </w:tblPrEx>
              <w:trPr>
                <w:trHeight w:val="559" w:hRule="atLeast"/>
              </w:trPr>
              <w:tc>
                <w:tcPr>
                  <w:tcW w:w="363" w:type="pct"/>
                  <w:tcBorders>
                    <w:top w:val="single" w:color="auto" w:sz="8" w:space="0"/>
                    <w:left w:val="single" w:color="auto" w:sz="8"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406" w:type="pct"/>
                  <w:tcBorders>
                    <w:top w:val="single" w:color="auto" w:sz="8"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w:t>
                  </w:r>
                </w:p>
              </w:tc>
              <w:tc>
                <w:tcPr>
                  <w:tcW w:w="245" w:type="pct"/>
                  <w:tcBorders>
                    <w:top w:val="single" w:color="auto" w:sz="8"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编号</w:t>
                  </w:r>
                </w:p>
              </w:tc>
              <w:tc>
                <w:tcPr>
                  <w:tcW w:w="1984" w:type="pct"/>
                  <w:tcBorders>
                    <w:top w:val="single" w:color="auto" w:sz="8"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验评内容</w:t>
                  </w:r>
                </w:p>
              </w:tc>
              <w:tc>
                <w:tcPr>
                  <w:tcW w:w="1077" w:type="pct"/>
                  <w:gridSpan w:val="3"/>
                  <w:tcBorders>
                    <w:top w:val="single" w:color="auto" w:sz="8"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扣罚标准</w:t>
                  </w:r>
                </w:p>
              </w:tc>
              <w:tc>
                <w:tcPr>
                  <w:tcW w:w="923" w:type="pct"/>
                  <w:tcBorders>
                    <w:top w:val="single" w:color="auto" w:sz="8" w:space="0"/>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tblPrEx>
                <w:tblCellMar>
                  <w:top w:w="0" w:type="dxa"/>
                  <w:left w:w="108" w:type="dxa"/>
                  <w:bottom w:w="0" w:type="dxa"/>
                  <w:right w:w="108" w:type="dxa"/>
                </w:tblCellMar>
              </w:tblPrEx>
              <w:trPr>
                <w:trHeight w:val="90" w:hRule="atLeast"/>
              </w:trPr>
              <w:tc>
                <w:tcPr>
                  <w:tcW w:w="363" w:type="pct"/>
                  <w:vMerge w:val="restart"/>
                  <w:tcBorders>
                    <w:top w:val="nil"/>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w:t>
                  </w:r>
                </w:p>
              </w:tc>
              <w:tc>
                <w:tcPr>
                  <w:tcW w:w="406" w:type="pct"/>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832" w:leftChars="-396" w:right="-903" w:rightChars="-43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河面</w:t>
                  </w:r>
                </w:p>
                <w:p>
                  <w:pPr>
                    <w:keepNext w:val="0"/>
                    <w:keepLines w:val="0"/>
                    <w:widowControl/>
                    <w:suppressLineNumbers w:val="0"/>
                    <w:spacing w:before="0" w:beforeAutospacing="0" w:after="0" w:afterAutospacing="0"/>
                    <w:ind w:left="-832" w:leftChars="-396" w:right="-903" w:rightChars="-43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保洁</w:t>
                  </w: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河面要求每天上午7：30—11：30，下午1：30—5：30不按时完成清捞保洁的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否则 </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500元/次·100米</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419"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河面当天不清理打捞的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200元/次·100米</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925"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河面保洁要时间内不能有漂浮垃圾(含水浮莲,下同)和零星漂浮垃圾(含水浮莲)，否则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500元/处</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362"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水面无动物尸体，否则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200元/条（只）</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855"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突发环境卫生事件（河道有大量飘浮垃圾）通知作业单位半小时内须有作业船只、人员到现场清捞处理，否则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1000元/次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439"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岸坡有吊挂积存垃圾的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否则 </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50元/处</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船容船貌不整洁，保洁作业船标志不清晰，船体残损，影响外观的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200元/船</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97"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不按要求配备相应船只、车辆，每缺1只（辆）的，其他的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1000元/只·辆（船及车辆）；500元/只·辆（其他）</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水上作业人员不穿着统一的反光保护服装和救生设施的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100元/人次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369"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作业完毕，不清洗干净作业船的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200元/船</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459"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不按规定上报各类资料和报表，否则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200元/次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continue"/>
                  <w:tcBorders>
                    <w:left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hAnsi="宋体"/>
                      <w:color w:val="auto"/>
                      <w:kern w:val="2"/>
                      <w:sz w:val="21"/>
                      <w:szCs w:val="21"/>
                      <w:highlight w:val="none"/>
                    </w:rPr>
                    <w:t>各种重大活动(包括国家、省、市大检查)及重大节假日等保洁工作</w:t>
                  </w:r>
                  <w:r>
                    <w:rPr>
                      <w:rFonts w:hint="eastAsia" w:hAnsi="宋体"/>
                      <w:color w:val="auto"/>
                      <w:kern w:val="2"/>
                      <w:sz w:val="21"/>
                      <w:szCs w:val="21"/>
                      <w:highlight w:val="none"/>
                      <w:lang w:eastAsia="zh-CN"/>
                    </w:rPr>
                    <w:t>需根据采购人要求半小时内到达指定位置，否则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1000元/次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559" w:hRule="atLeast"/>
              </w:trPr>
              <w:tc>
                <w:tcPr>
                  <w:tcW w:w="363" w:type="pct"/>
                  <w:vMerge w:val="continue"/>
                  <w:tcBorders>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因成交供应商原因，</w:t>
                  </w:r>
                  <w:r>
                    <w:rPr>
                      <w:rFonts w:hint="eastAsia" w:hAnsi="宋体"/>
                      <w:color w:val="auto"/>
                      <w:kern w:val="2"/>
                      <w:sz w:val="21"/>
                      <w:szCs w:val="21"/>
                      <w:highlight w:val="none"/>
                    </w:rPr>
                    <w:t>作业区域</w:t>
                  </w: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次（含）以上被媒体曝光存在环境卫生问题造成不良影响的</w:t>
                  </w:r>
                  <w:r>
                    <w:rPr>
                      <w:rFonts w:hint="eastAsia" w:hAnsi="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1000元/次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559" w:hRule="atLeast"/>
              </w:trPr>
              <w:tc>
                <w:tcPr>
                  <w:tcW w:w="363" w:type="pct"/>
                  <w:vMerge w:val="restart"/>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w:t>
                  </w:r>
                </w:p>
              </w:tc>
              <w:tc>
                <w:tcPr>
                  <w:tcW w:w="406" w:type="pct"/>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码头管理</w:t>
                  </w: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4</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作业完毕，转运码头场地不整洁，有堆积杂物、撒落垃圾和积留污水的否则</w:t>
                  </w:r>
                  <w:r>
                    <w:rPr>
                      <w:rFonts w:hint="eastAsia" w:ascii="宋体" w:hAnsi="宋体" w:eastAsia="宋体" w:cs="宋体"/>
                      <w:color w:val="auto"/>
                      <w:kern w:val="2"/>
                      <w:sz w:val="21"/>
                      <w:szCs w:val="21"/>
                      <w:highlight w:val="none"/>
                      <w:lang w:eastAsia="zh-CN"/>
                    </w:rPr>
                    <w:t>，</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300元/次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638"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5</w:t>
                  </w:r>
                </w:p>
              </w:tc>
              <w:tc>
                <w:tcPr>
                  <w:tcW w:w="19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转运码头内不能积存、堆放垃圾，否则</w:t>
                  </w:r>
                </w:p>
              </w:tc>
              <w:tc>
                <w:tcPr>
                  <w:tcW w:w="107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500/次</w:t>
                  </w:r>
                </w:p>
              </w:tc>
              <w:tc>
                <w:tcPr>
                  <w:tcW w:w="9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restart"/>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w:t>
                  </w:r>
                </w:p>
              </w:tc>
              <w:tc>
                <w:tcPr>
                  <w:tcW w:w="406" w:type="pct"/>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运输车辆</w:t>
                  </w:r>
                </w:p>
              </w:tc>
              <w:tc>
                <w:tcPr>
                  <w:tcW w:w="24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16</w:t>
                  </w:r>
                </w:p>
              </w:tc>
              <w:tc>
                <w:tcPr>
                  <w:tcW w:w="1984"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垃圾运输车辆不密闭运输，或有垃圾吊挂、污水漏洒的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200元/车次</w:t>
                  </w:r>
                </w:p>
              </w:tc>
              <w:tc>
                <w:tcPr>
                  <w:tcW w:w="923" w:type="pct"/>
                  <w:tcBorders>
                    <w:top w:val="single" w:color="auto" w:sz="4" w:space="0"/>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7</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将服务范围外的垃圾当作河面垃圾运送到甲方指定地点处理的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5000元/车次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8</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垃圾运输车辆标志不清晰，车体有残损，影响外观的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200元/车次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restart"/>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w:t>
                  </w:r>
                </w:p>
              </w:tc>
              <w:tc>
                <w:tcPr>
                  <w:tcW w:w="406" w:type="pct"/>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安全或其他</w:t>
                  </w: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9</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作业单位应建立、健全各项安全管理制度和环卫作业机械安全操作规程，作业过程安全管理应符合国家现行的有关规定，否则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500元/次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489"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20</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车辆未购买交强险、第三者责任险</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500元/辆次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船只未购买责任险或相关险种的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500元/船次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不遵守安全操作规程和操作技术规范的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500元/次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469"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船上没有配备足够的救生衣（圈），否则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300元/个（件）</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559"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24</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转运码头的用电必须符合国家安全用电有关规定，严禁乱拉乱接，否则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200元/次</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tc>
            </w:tr>
            <w:tr>
              <w:tblPrEx>
                <w:tblCellMar>
                  <w:top w:w="0" w:type="dxa"/>
                  <w:left w:w="108" w:type="dxa"/>
                  <w:bottom w:w="0" w:type="dxa"/>
                  <w:right w:w="108" w:type="dxa"/>
                </w:tblCellMar>
              </w:tblPrEx>
              <w:trPr>
                <w:trHeight w:val="1230" w:hRule="atLeast"/>
              </w:trPr>
              <w:tc>
                <w:tcPr>
                  <w:tcW w:w="363" w:type="pct"/>
                  <w:vMerge w:val="continue"/>
                  <w:tcBorders>
                    <w:top w:val="nil"/>
                    <w:left w:val="single" w:color="auto" w:sz="8"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406" w:type="pct"/>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p>
              </w:tc>
              <w:tc>
                <w:tcPr>
                  <w:tcW w:w="245"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w:t>
                  </w:r>
                </w:p>
              </w:tc>
              <w:tc>
                <w:tcPr>
                  <w:tcW w:w="1984" w:type="pc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因人为因素造成事故的（如违章用电、违章驾船、驾车等），视事故大小扣</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w:t>
                  </w:r>
                </w:p>
              </w:tc>
              <w:tc>
                <w:tcPr>
                  <w:tcW w:w="1077" w:type="pct"/>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5000元/次（一般事故）；10000元/次（重大事故）；30000元/次（特大事故）</w:t>
                  </w:r>
                </w:p>
              </w:tc>
              <w:tc>
                <w:tcPr>
                  <w:tcW w:w="923" w:type="pct"/>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　</w:t>
                  </w:r>
                  <w:r>
                    <w:rPr>
                      <w:rFonts w:hint="eastAsia" w:ascii="宋体" w:hAnsi="宋体" w:eastAsia="宋体" w:cs="宋体"/>
                      <w:color w:val="auto"/>
                      <w:kern w:val="2"/>
                      <w:sz w:val="21"/>
                      <w:szCs w:val="21"/>
                      <w:highlight w:val="none"/>
                      <w:lang w:val="en-US" w:eastAsia="zh-CN"/>
                    </w:rPr>
                    <w:t>发生一切事故责任与采购人无关</w:t>
                  </w:r>
                </w:p>
              </w:tc>
            </w:tr>
            <w:tr>
              <w:tblPrEx>
                <w:tblCellMar>
                  <w:top w:w="0" w:type="dxa"/>
                  <w:left w:w="108" w:type="dxa"/>
                  <w:bottom w:w="0" w:type="dxa"/>
                  <w:right w:w="108" w:type="dxa"/>
                </w:tblCellMar>
              </w:tblPrEx>
              <w:trPr>
                <w:trHeight w:val="4492" w:hRule="atLeast"/>
              </w:trPr>
              <w:tc>
                <w:tcPr>
                  <w:tcW w:w="5000" w:type="pct"/>
                  <w:gridSpan w:val="8"/>
                  <w:tcBorders>
                    <w:top w:val="single" w:color="auto" w:sz="4" w:space="0"/>
                    <w:left w:val="single" w:color="auto" w:sz="8" w:space="0"/>
                    <w:bottom w:val="single" w:color="auto" w:sz="8" w:space="0"/>
                    <w:right w:val="single" w:color="000000" w:sz="8" w:space="0"/>
                  </w:tcBorders>
                  <w:noWrap w:val="0"/>
                  <w:vAlign w:val="center"/>
                </w:tcPr>
                <w:p>
                  <w:pPr>
                    <w:keepNext w:val="0"/>
                    <w:keepLines w:val="0"/>
                    <w:widowControl/>
                    <w:suppressLineNumbers w:val="0"/>
                    <w:spacing w:before="0" w:beforeAutospacing="0" w:after="0" w:afterAutospacing="0" w:line="440" w:lineRule="exact"/>
                    <w:ind w:right="0" w:firstLine="420" w:firstLineChars="200"/>
                    <w:rPr>
                      <w:rFonts w:hint="eastAsia" w:hAnsi="宋体" w:cs="仿宋_GB2312"/>
                      <w:color w:val="auto"/>
                      <w:kern w:val="2"/>
                      <w:sz w:val="21"/>
                      <w:szCs w:val="21"/>
                      <w:highlight w:val="none"/>
                    </w:rPr>
                  </w:pPr>
                  <w:r>
                    <w:rPr>
                      <w:rFonts w:hint="eastAsia" w:hAnsi="宋体" w:cs="仿宋_GB2312"/>
                      <w:color w:val="auto"/>
                      <w:kern w:val="2"/>
                      <w:sz w:val="21"/>
                      <w:szCs w:val="21"/>
                      <w:highlight w:val="none"/>
                    </w:rPr>
                    <w:t>采购人</w:t>
                  </w:r>
                  <w:r>
                    <w:rPr>
                      <w:rFonts w:hint="eastAsia" w:ascii="宋体" w:hAnsi="宋体" w:eastAsia="宋体" w:cs="宋体"/>
                      <w:color w:val="auto"/>
                      <w:kern w:val="2"/>
                      <w:sz w:val="21"/>
                      <w:szCs w:val="21"/>
                      <w:highlight w:val="none"/>
                    </w:rPr>
                    <w:t>根据工作实际，</w:t>
                  </w:r>
                  <w:r>
                    <w:rPr>
                      <w:rFonts w:hint="eastAsia" w:hAnsi="宋体" w:cs="仿宋_GB2312"/>
                      <w:color w:val="auto"/>
                      <w:kern w:val="2"/>
                      <w:sz w:val="21"/>
                      <w:szCs w:val="21"/>
                      <w:highlight w:val="none"/>
                    </w:rPr>
                    <w:t>对</w:t>
                  </w:r>
                  <w:r>
                    <w:rPr>
                      <w:rFonts w:hint="eastAsia" w:hAnsi="宋体" w:cs="仿宋_GB2312"/>
                      <w:color w:val="auto"/>
                      <w:kern w:val="2"/>
                      <w:sz w:val="21"/>
                      <w:szCs w:val="21"/>
                      <w:highlight w:val="none"/>
                      <w:lang w:eastAsia="zh-CN"/>
                    </w:rPr>
                    <w:t>成交供应商</w:t>
                  </w:r>
                  <w:r>
                    <w:rPr>
                      <w:rFonts w:hint="eastAsia" w:hAnsi="宋体" w:cs="仿宋_GB2312"/>
                      <w:color w:val="auto"/>
                      <w:kern w:val="2"/>
                      <w:sz w:val="21"/>
                      <w:szCs w:val="21"/>
                      <w:highlight w:val="none"/>
                    </w:rPr>
                    <w:t>作业质量和数量进行日常检查和月度检查(日常检查占总分50%，月度检查占总分50%)</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月度</w:t>
                  </w:r>
                  <w:r>
                    <w:rPr>
                      <w:rFonts w:hint="eastAsia" w:ascii="宋体" w:hAnsi="宋体" w:eastAsia="宋体" w:cs="宋体"/>
                      <w:color w:val="auto"/>
                      <w:kern w:val="2"/>
                      <w:sz w:val="21"/>
                      <w:szCs w:val="21"/>
                      <w:highlight w:val="none"/>
                    </w:rPr>
                    <w:t>检查在作业时间内进行，每次检查应有作业单位的管理人员参加</w:t>
                  </w:r>
                  <w:r>
                    <w:rPr>
                      <w:rFonts w:hint="eastAsia" w:ascii="宋体" w:hAnsi="宋体" w:eastAsia="宋体" w:cs="宋体"/>
                      <w:color w:val="auto"/>
                      <w:kern w:val="2"/>
                      <w:sz w:val="21"/>
                      <w:szCs w:val="21"/>
                      <w:highlight w:val="none"/>
                      <w:lang w:eastAsia="zh-CN"/>
                    </w:rPr>
                    <w:t>，相关</w:t>
                  </w:r>
                  <w:r>
                    <w:rPr>
                      <w:rFonts w:hint="eastAsia" w:ascii="宋体" w:hAnsi="宋体" w:eastAsia="宋体" w:cs="宋体"/>
                      <w:color w:val="auto"/>
                      <w:kern w:val="2"/>
                      <w:sz w:val="21"/>
                      <w:szCs w:val="21"/>
                      <w:highlight w:val="none"/>
                    </w:rPr>
                    <w:t>检查实行实查实扣款制度，</w:t>
                  </w:r>
                  <w:r>
                    <w:rPr>
                      <w:rFonts w:hint="eastAsia" w:hAnsi="宋体" w:cs="仿宋_GB2312"/>
                      <w:color w:val="auto"/>
                      <w:kern w:val="2"/>
                      <w:sz w:val="21"/>
                      <w:szCs w:val="21"/>
                      <w:highlight w:val="none"/>
                    </w:rPr>
                    <w:t>每月考评按总分100分计算</w:t>
                  </w:r>
                  <w:r>
                    <w:rPr>
                      <w:rFonts w:hint="eastAsia" w:hAnsi="宋体" w:cs="仿宋_GB2312"/>
                      <w:color w:val="auto"/>
                      <w:kern w:val="2"/>
                      <w:sz w:val="21"/>
                      <w:szCs w:val="21"/>
                      <w:highlight w:val="none"/>
                      <w:lang w:eastAsia="zh-CN"/>
                    </w:rPr>
                    <w:t>，</w:t>
                  </w:r>
                  <w:r>
                    <w:rPr>
                      <w:rFonts w:hint="eastAsia" w:ascii="宋体" w:hAnsi="宋体" w:eastAsia="宋体" w:cs="宋体"/>
                      <w:color w:val="auto"/>
                      <w:kern w:val="2"/>
                      <w:sz w:val="21"/>
                      <w:szCs w:val="21"/>
                      <w:highlight w:val="none"/>
                    </w:rPr>
                    <w:t>扣款金额与综合评分挂钩</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当月扣款</w:t>
                  </w:r>
                  <w:r>
                    <w:rPr>
                      <w:rFonts w:hint="eastAsia" w:ascii="宋体" w:hAnsi="宋体" w:eastAsia="宋体" w:cs="宋体"/>
                      <w:color w:val="auto"/>
                      <w:kern w:val="2"/>
                      <w:sz w:val="21"/>
                      <w:szCs w:val="21"/>
                      <w:highlight w:val="none"/>
                      <w:lang w:eastAsia="zh-CN"/>
                    </w:rPr>
                    <w:t>低于</w:t>
                  </w:r>
                  <w:r>
                    <w:rPr>
                      <w:rFonts w:hint="eastAsia" w:ascii="宋体" w:hAnsi="宋体" w:eastAsia="宋体" w:cs="宋体"/>
                      <w:color w:val="auto"/>
                      <w:kern w:val="2"/>
                      <w:sz w:val="21"/>
                      <w:szCs w:val="21"/>
                      <w:highlight w:val="none"/>
                      <w:lang w:val="en-US" w:eastAsia="zh-CN"/>
                    </w:rPr>
                    <w:t>500元（含）的</w:t>
                  </w:r>
                  <w:r>
                    <w:rPr>
                      <w:rFonts w:hint="eastAsia" w:ascii="宋体" w:hAnsi="宋体" w:eastAsia="宋体" w:cs="宋体"/>
                      <w:color w:val="auto"/>
                      <w:kern w:val="2"/>
                      <w:sz w:val="21"/>
                      <w:szCs w:val="21"/>
                      <w:highlight w:val="none"/>
                    </w:rPr>
                    <w:t>，综合评分即为9</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当月扣款</w:t>
                  </w:r>
                  <w:r>
                    <w:rPr>
                      <w:rFonts w:hint="eastAsia" w:ascii="宋体" w:hAnsi="宋体" w:eastAsia="宋体" w:cs="宋体"/>
                      <w:color w:val="auto"/>
                      <w:kern w:val="2"/>
                      <w:sz w:val="21"/>
                      <w:szCs w:val="21"/>
                      <w:highlight w:val="none"/>
                      <w:lang w:eastAsia="zh-CN"/>
                    </w:rPr>
                    <w:t>超过</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00元</w:t>
                  </w:r>
                  <w:r>
                    <w:rPr>
                      <w:rFonts w:hint="eastAsia" w:ascii="宋体" w:hAnsi="宋体" w:eastAsia="宋体" w:cs="宋体"/>
                      <w:color w:val="auto"/>
                      <w:kern w:val="2"/>
                      <w:sz w:val="21"/>
                      <w:szCs w:val="21"/>
                      <w:highlight w:val="none"/>
                      <w:lang w:eastAsia="zh-CN"/>
                    </w:rPr>
                    <w:t>低于</w:t>
                  </w:r>
                  <w:r>
                    <w:rPr>
                      <w:rFonts w:hint="eastAsia" w:ascii="宋体" w:hAnsi="宋体" w:eastAsia="宋体" w:cs="宋体"/>
                      <w:color w:val="auto"/>
                      <w:kern w:val="2"/>
                      <w:sz w:val="21"/>
                      <w:szCs w:val="21"/>
                      <w:highlight w:val="none"/>
                      <w:lang w:val="en-US" w:eastAsia="zh-CN"/>
                    </w:rPr>
                    <w:t>1000元（含）的</w:t>
                  </w:r>
                  <w:r>
                    <w:rPr>
                      <w:rFonts w:hint="eastAsia" w:ascii="宋体" w:hAnsi="宋体" w:eastAsia="宋体" w:cs="宋体"/>
                      <w:color w:val="auto"/>
                      <w:kern w:val="2"/>
                      <w:sz w:val="21"/>
                      <w:szCs w:val="21"/>
                      <w:highlight w:val="none"/>
                    </w:rPr>
                    <w:t>，综合评分即为90分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当月扣款</w:t>
                  </w:r>
                  <w:r>
                    <w:rPr>
                      <w:rFonts w:hint="eastAsia" w:ascii="宋体" w:hAnsi="宋体" w:eastAsia="宋体" w:cs="宋体"/>
                      <w:color w:val="auto"/>
                      <w:kern w:val="2"/>
                      <w:sz w:val="21"/>
                      <w:szCs w:val="21"/>
                      <w:highlight w:val="none"/>
                      <w:lang w:eastAsia="zh-CN"/>
                    </w:rPr>
                    <w:t>超过</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000元</w:t>
                  </w:r>
                  <w:r>
                    <w:rPr>
                      <w:rFonts w:hint="eastAsia" w:ascii="宋体" w:hAnsi="宋体" w:eastAsia="宋体" w:cs="宋体"/>
                      <w:color w:val="auto"/>
                      <w:kern w:val="2"/>
                      <w:sz w:val="21"/>
                      <w:szCs w:val="21"/>
                      <w:highlight w:val="none"/>
                      <w:lang w:eastAsia="zh-CN"/>
                    </w:rPr>
                    <w:t>低于</w:t>
                  </w:r>
                  <w:r>
                    <w:rPr>
                      <w:rFonts w:hint="eastAsia" w:ascii="宋体" w:hAnsi="宋体" w:eastAsia="宋体" w:cs="宋体"/>
                      <w:color w:val="auto"/>
                      <w:kern w:val="2"/>
                      <w:sz w:val="21"/>
                      <w:szCs w:val="21"/>
                      <w:highlight w:val="none"/>
                      <w:lang w:val="en-US" w:eastAsia="zh-CN"/>
                    </w:rPr>
                    <w:t>2000元（含）的</w:t>
                  </w:r>
                  <w:r>
                    <w:rPr>
                      <w:rFonts w:hint="eastAsia" w:ascii="宋体" w:hAnsi="宋体" w:eastAsia="宋体" w:cs="宋体"/>
                      <w:color w:val="auto"/>
                      <w:kern w:val="2"/>
                      <w:sz w:val="21"/>
                      <w:szCs w:val="21"/>
                      <w:highlight w:val="none"/>
                    </w:rPr>
                    <w:t>，综合评分即为8</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当月扣款</w:t>
                  </w:r>
                  <w:r>
                    <w:rPr>
                      <w:rFonts w:hint="eastAsia" w:ascii="宋体" w:hAnsi="宋体" w:eastAsia="宋体" w:cs="宋体"/>
                      <w:color w:val="auto"/>
                      <w:kern w:val="2"/>
                      <w:sz w:val="21"/>
                      <w:szCs w:val="21"/>
                      <w:highlight w:val="none"/>
                      <w:lang w:eastAsia="zh-CN"/>
                    </w:rPr>
                    <w:t>超过</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000元</w:t>
                  </w:r>
                  <w:r>
                    <w:rPr>
                      <w:rFonts w:hint="eastAsia" w:ascii="宋体" w:hAnsi="宋体" w:eastAsia="宋体" w:cs="宋体"/>
                      <w:color w:val="auto"/>
                      <w:kern w:val="2"/>
                      <w:sz w:val="21"/>
                      <w:szCs w:val="21"/>
                      <w:highlight w:val="none"/>
                      <w:lang w:eastAsia="zh-CN"/>
                    </w:rPr>
                    <w:t>低于</w:t>
                  </w:r>
                  <w:r>
                    <w:rPr>
                      <w:rFonts w:hint="eastAsia" w:ascii="宋体" w:hAnsi="宋体" w:eastAsia="宋体" w:cs="宋体"/>
                      <w:color w:val="auto"/>
                      <w:kern w:val="2"/>
                      <w:sz w:val="21"/>
                      <w:szCs w:val="21"/>
                      <w:highlight w:val="none"/>
                      <w:lang w:val="en-US" w:eastAsia="zh-CN"/>
                    </w:rPr>
                    <w:t>5000元（含）的</w:t>
                  </w:r>
                  <w:r>
                    <w:rPr>
                      <w:rFonts w:hint="eastAsia" w:ascii="宋体" w:hAnsi="宋体" w:eastAsia="宋体" w:cs="宋体"/>
                      <w:color w:val="auto"/>
                      <w:kern w:val="2"/>
                      <w:sz w:val="21"/>
                      <w:szCs w:val="21"/>
                      <w:highlight w:val="none"/>
                    </w:rPr>
                    <w:t>，综合评分即为</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0分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当月扣款</w:t>
                  </w:r>
                  <w:r>
                    <w:rPr>
                      <w:rFonts w:hint="eastAsia" w:ascii="宋体" w:hAnsi="宋体" w:eastAsia="宋体" w:cs="宋体"/>
                      <w:color w:val="auto"/>
                      <w:kern w:val="2"/>
                      <w:sz w:val="21"/>
                      <w:szCs w:val="21"/>
                      <w:highlight w:val="none"/>
                      <w:lang w:eastAsia="zh-CN"/>
                    </w:rPr>
                    <w:t>超过</w:t>
                  </w:r>
                  <w:r>
                    <w:rPr>
                      <w:rFonts w:hint="eastAsia" w:ascii="宋体" w:hAnsi="宋体" w:eastAsia="宋体" w:cs="宋体"/>
                      <w:color w:val="auto"/>
                      <w:kern w:val="2"/>
                      <w:sz w:val="21"/>
                      <w:szCs w:val="21"/>
                      <w:highlight w:val="none"/>
                      <w:lang w:val="en-US" w:eastAsia="zh-CN"/>
                    </w:rPr>
                    <w:t>5000元的</w:t>
                  </w:r>
                  <w:r>
                    <w:rPr>
                      <w:rFonts w:hint="eastAsia" w:ascii="宋体" w:hAnsi="宋体" w:eastAsia="宋体" w:cs="宋体"/>
                      <w:color w:val="auto"/>
                      <w:kern w:val="2"/>
                      <w:sz w:val="21"/>
                      <w:szCs w:val="21"/>
                      <w:highlight w:val="none"/>
                    </w:rPr>
                    <w:t>，综合评分即为</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0分。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hAnsi="宋体" w:cs="仿宋_GB2312"/>
                      <w:color w:val="auto"/>
                      <w:kern w:val="2"/>
                      <w:sz w:val="21"/>
                      <w:szCs w:val="21"/>
                      <w:highlight w:val="none"/>
                    </w:rPr>
                    <w:t>分值</w:t>
                  </w:r>
                  <w:r>
                    <w:rPr>
                      <w:rFonts w:hint="eastAsia" w:hAnsi="宋体" w:cs="仿宋_GB2312"/>
                      <w:color w:val="auto"/>
                      <w:kern w:val="2"/>
                      <w:sz w:val="21"/>
                      <w:szCs w:val="21"/>
                      <w:highlight w:val="none"/>
                      <w:lang w:eastAsia="zh-CN"/>
                    </w:rPr>
                    <w:t>为</w:t>
                  </w:r>
                  <w:r>
                    <w:rPr>
                      <w:rFonts w:hint="eastAsia" w:hAnsi="宋体" w:cs="仿宋_GB2312"/>
                      <w:color w:val="auto"/>
                      <w:kern w:val="2"/>
                      <w:sz w:val="21"/>
                      <w:szCs w:val="21"/>
                      <w:highlight w:val="none"/>
                    </w:rPr>
                    <w:t>70分在合同履行期始年度内累计</w:t>
                  </w:r>
                  <w:r>
                    <w:rPr>
                      <w:rFonts w:hint="eastAsia" w:hAnsi="宋体" w:cs="仿宋_GB2312"/>
                      <w:color w:val="auto"/>
                      <w:kern w:val="2"/>
                      <w:sz w:val="21"/>
                      <w:szCs w:val="21"/>
                      <w:highlight w:val="none"/>
                      <w:lang w:val="en-US" w:eastAsia="zh-CN"/>
                    </w:rPr>
                    <w:t>2</w:t>
                  </w:r>
                  <w:r>
                    <w:rPr>
                      <w:rFonts w:hint="eastAsia" w:hAnsi="宋体" w:cs="仿宋_GB2312"/>
                      <w:color w:val="auto"/>
                      <w:kern w:val="2"/>
                      <w:sz w:val="21"/>
                      <w:szCs w:val="21"/>
                      <w:highlight w:val="none"/>
                    </w:rPr>
                    <w:t>次以上的(含</w:t>
                  </w:r>
                  <w:r>
                    <w:rPr>
                      <w:rFonts w:hint="eastAsia" w:hAnsi="宋体" w:cs="仿宋_GB2312"/>
                      <w:color w:val="auto"/>
                      <w:kern w:val="2"/>
                      <w:sz w:val="21"/>
                      <w:szCs w:val="21"/>
                      <w:highlight w:val="none"/>
                      <w:lang w:val="en-US" w:eastAsia="zh-CN"/>
                    </w:rPr>
                    <w:t>2</w:t>
                  </w:r>
                  <w:r>
                    <w:rPr>
                      <w:rFonts w:hint="eastAsia" w:hAnsi="宋体" w:cs="仿宋_GB2312"/>
                      <w:color w:val="auto"/>
                      <w:kern w:val="2"/>
                      <w:sz w:val="21"/>
                      <w:szCs w:val="21"/>
                      <w:highlight w:val="none"/>
                    </w:rPr>
                    <w:t>次)，采购人有权终止承包合同。</w:t>
                  </w:r>
                  <w:r>
                    <w:rPr>
                      <w:rFonts w:hint="eastAsia" w:hAnsi="宋体" w:cs="仿宋_GB2312"/>
                      <w:color w:val="auto"/>
                      <w:kern w:val="2"/>
                      <w:sz w:val="21"/>
                      <w:szCs w:val="21"/>
                      <w:highlight w:val="none"/>
                      <w:lang w:eastAsia="zh-CN"/>
                    </w:rPr>
                    <w:t>（</w:t>
                  </w:r>
                  <w:r>
                    <w:rPr>
                      <w:rFonts w:hint="eastAsia" w:hAnsi="宋体" w:cs="仿宋_GB2312"/>
                      <w:color w:val="auto"/>
                      <w:kern w:val="2"/>
                      <w:sz w:val="21"/>
                      <w:szCs w:val="21"/>
                      <w:highlight w:val="none"/>
                      <w:lang w:val="en-US" w:eastAsia="zh-CN"/>
                    </w:rPr>
                    <w:t>6</w:t>
                  </w:r>
                  <w:r>
                    <w:rPr>
                      <w:rFonts w:hint="eastAsia" w:hAnsi="宋体" w:cs="仿宋_GB2312"/>
                      <w:color w:val="auto"/>
                      <w:kern w:val="2"/>
                      <w:sz w:val="21"/>
                      <w:szCs w:val="21"/>
                      <w:highlight w:val="none"/>
                      <w:lang w:eastAsia="zh-CN"/>
                    </w:rPr>
                    <w:t>）</w:t>
                  </w:r>
                  <w:r>
                    <w:rPr>
                      <w:rFonts w:hint="eastAsia" w:ascii="宋体" w:hAnsi="宋体" w:eastAsia="宋体" w:cs="宋体"/>
                      <w:color w:val="auto"/>
                      <w:kern w:val="2"/>
                      <w:sz w:val="21"/>
                      <w:szCs w:val="21"/>
                      <w:highlight w:val="none"/>
                    </w:rPr>
                    <w:t>分值为</w:t>
                  </w: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w:t>
                  </w:r>
                  <w:r>
                    <w:rPr>
                      <w:rFonts w:hint="eastAsia" w:hAnsi="宋体" w:cs="仿宋_GB2312"/>
                      <w:color w:val="auto"/>
                      <w:kern w:val="2"/>
                      <w:sz w:val="21"/>
                      <w:szCs w:val="21"/>
                      <w:highlight w:val="none"/>
                    </w:rPr>
                    <w:t>采购人</w:t>
                  </w:r>
                  <w:r>
                    <w:rPr>
                      <w:rFonts w:hint="eastAsia" w:ascii="宋体" w:hAnsi="宋体" w:eastAsia="宋体" w:cs="宋体"/>
                      <w:color w:val="auto"/>
                      <w:kern w:val="2"/>
                      <w:sz w:val="21"/>
                      <w:szCs w:val="21"/>
                      <w:highlight w:val="none"/>
                    </w:rPr>
                    <w:t>有权立即终止本承包合同。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综合评分值为</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0分以下</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w:t>
                  </w:r>
                  <w:r>
                    <w:rPr>
                      <w:rFonts w:hint="eastAsia" w:hAnsi="宋体" w:cs="仿宋_GB2312"/>
                      <w:color w:val="auto"/>
                      <w:kern w:val="2"/>
                      <w:sz w:val="21"/>
                      <w:szCs w:val="21"/>
                      <w:highlight w:val="none"/>
                    </w:rPr>
                    <w:t>采购人</w:t>
                  </w:r>
                  <w:r>
                    <w:rPr>
                      <w:rFonts w:hint="eastAsia" w:ascii="宋体" w:hAnsi="宋体" w:eastAsia="宋体" w:cs="宋体"/>
                      <w:color w:val="auto"/>
                      <w:kern w:val="2"/>
                      <w:sz w:val="21"/>
                      <w:szCs w:val="21"/>
                      <w:highlight w:val="none"/>
                    </w:rPr>
                    <w:t>向</w:t>
                  </w:r>
                  <w:r>
                    <w:rPr>
                      <w:rFonts w:hint="eastAsia" w:ascii="宋体" w:hAnsi="宋体" w:eastAsia="宋体" w:cs="宋体"/>
                      <w:color w:val="auto"/>
                      <w:kern w:val="2"/>
                      <w:sz w:val="21"/>
                      <w:szCs w:val="21"/>
                      <w:highlight w:val="none"/>
                      <w:lang w:eastAsia="zh-CN"/>
                    </w:rPr>
                    <w:t>成交供应商</w:t>
                  </w:r>
                  <w:r>
                    <w:rPr>
                      <w:rFonts w:hint="eastAsia" w:ascii="宋体" w:hAnsi="宋体" w:eastAsia="宋体" w:cs="宋体"/>
                      <w:color w:val="auto"/>
                      <w:kern w:val="2"/>
                      <w:sz w:val="21"/>
                      <w:szCs w:val="21"/>
                      <w:highlight w:val="none"/>
                    </w:rPr>
                    <w:t>发出</w:t>
                  </w:r>
                  <w:r>
                    <w:rPr>
                      <w:rFonts w:hint="eastAsia" w:ascii="宋体" w:hAnsi="宋体" w:eastAsia="宋体" w:cs="宋体"/>
                      <w:color w:val="auto"/>
                      <w:kern w:val="2"/>
                      <w:sz w:val="21"/>
                      <w:szCs w:val="21"/>
                      <w:highlight w:val="none"/>
                      <w:lang w:eastAsia="zh-CN"/>
                    </w:rPr>
                    <w:t>限期整改通知书</w:t>
                  </w:r>
                  <w:r>
                    <w:rPr>
                      <w:rFonts w:hint="eastAsia" w:ascii="宋体" w:hAnsi="宋体" w:eastAsia="宋体" w:cs="宋体"/>
                      <w:color w:val="auto"/>
                      <w:kern w:val="2"/>
                      <w:sz w:val="21"/>
                      <w:szCs w:val="21"/>
                      <w:highlight w:val="none"/>
                    </w:rPr>
                    <w:t>，书面通知</w:t>
                  </w:r>
                  <w:r>
                    <w:rPr>
                      <w:rFonts w:hint="eastAsia" w:ascii="宋体" w:hAnsi="宋体" w:eastAsia="宋体" w:cs="宋体"/>
                      <w:color w:val="auto"/>
                      <w:kern w:val="2"/>
                      <w:sz w:val="21"/>
                      <w:szCs w:val="21"/>
                      <w:highlight w:val="none"/>
                      <w:lang w:eastAsia="zh-CN"/>
                    </w:rPr>
                    <w:t>成交供应商限期</w:t>
                  </w:r>
                  <w:r>
                    <w:rPr>
                      <w:rFonts w:hint="eastAsia" w:ascii="宋体" w:hAnsi="宋体" w:eastAsia="宋体" w:cs="宋体"/>
                      <w:color w:val="auto"/>
                      <w:kern w:val="2"/>
                      <w:sz w:val="21"/>
                      <w:szCs w:val="21"/>
                      <w:highlight w:val="none"/>
                    </w:rPr>
                    <w:t>进行</w:t>
                  </w:r>
                  <w:r>
                    <w:rPr>
                      <w:rFonts w:hint="eastAsia" w:ascii="宋体" w:hAnsi="宋体" w:eastAsia="宋体" w:cs="宋体"/>
                      <w:color w:val="auto"/>
                      <w:kern w:val="2"/>
                      <w:sz w:val="21"/>
                      <w:szCs w:val="21"/>
                      <w:highlight w:val="none"/>
                      <w:lang w:eastAsia="zh-CN"/>
                    </w:rPr>
                    <w:t>整改，如不在限期内完成整改的，扣减当月服务费用</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000元</w:t>
                  </w:r>
                  <w:r>
                    <w:rPr>
                      <w:rFonts w:hint="eastAsia" w:ascii="宋体" w:hAnsi="宋体" w:eastAsia="宋体" w:cs="宋体"/>
                      <w:color w:val="auto"/>
                      <w:kern w:val="2"/>
                      <w:sz w:val="21"/>
                      <w:szCs w:val="21"/>
                      <w:highlight w:val="none"/>
                      <w:lang w:val="en-US" w:eastAsia="zh-CN"/>
                    </w:rPr>
                    <w:t>/次</w:t>
                  </w:r>
                  <w:r>
                    <w:rPr>
                      <w:rFonts w:hint="eastAsia" w:ascii="宋体" w:hAnsi="宋体" w:eastAsia="宋体" w:cs="宋体"/>
                      <w:color w:val="auto"/>
                      <w:kern w:val="2"/>
                      <w:sz w:val="21"/>
                      <w:szCs w:val="21"/>
                      <w:highlight w:val="none"/>
                    </w:rPr>
                    <w:t>；每年</w:t>
                  </w:r>
                  <w:r>
                    <w:rPr>
                      <w:rFonts w:hint="eastAsia" w:ascii="宋体" w:hAnsi="宋体" w:eastAsia="宋体" w:cs="宋体"/>
                      <w:color w:val="auto"/>
                      <w:kern w:val="2"/>
                      <w:sz w:val="21"/>
                      <w:szCs w:val="21"/>
                      <w:highlight w:val="none"/>
                      <w:lang w:eastAsia="zh-CN"/>
                    </w:rPr>
                    <w:t>限期整改通知书</w:t>
                  </w:r>
                  <w:r>
                    <w:rPr>
                      <w:rFonts w:hint="eastAsia" w:ascii="宋体" w:hAnsi="宋体" w:eastAsia="宋体" w:cs="宋体"/>
                      <w:color w:val="auto"/>
                      <w:kern w:val="2"/>
                      <w:sz w:val="21"/>
                      <w:szCs w:val="21"/>
                      <w:highlight w:val="none"/>
                    </w:rPr>
                    <w:t>超过</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次</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w:t>
                  </w:r>
                  <w:r>
                    <w:rPr>
                      <w:rFonts w:hint="eastAsia" w:hAnsi="宋体" w:cs="仿宋_GB2312"/>
                      <w:color w:val="auto"/>
                      <w:kern w:val="2"/>
                      <w:sz w:val="21"/>
                      <w:szCs w:val="21"/>
                      <w:highlight w:val="none"/>
                    </w:rPr>
                    <w:t>采购人</w:t>
                  </w:r>
                  <w:r>
                    <w:rPr>
                      <w:rFonts w:hint="eastAsia" w:ascii="宋体" w:hAnsi="宋体" w:eastAsia="宋体" w:cs="宋体"/>
                      <w:color w:val="auto"/>
                      <w:kern w:val="2"/>
                      <w:sz w:val="21"/>
                      <w:szCs w:val="21"/>
                      <w:highlight w:val="none"/>
                    </w:rPr>
                    <w:t>有权立即终止本承包合同。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w:t>
                  </w:r>
                  <w:r>
                    <w:rPr>
                      <w:rFonts w:hint="eastAsia" w:hAnsi="宋体" w:eastAsia="宋体" w:cs="仿宋_GB2312"/>
                      <w:color w:val="auto"/>
                      <w:kern w:val="2"/>
                      <w:sz w:val="21"/>
                      <w:szCs w:val="21"/>
                      <w:highlight w:val="none"/>
                      <w:lang w:eastAsia="zh-CN"/>
                    </w:rPr>
                    <w:t>成交供应商</w:t>
                  </w:r>
                  <w:r>
                    <w:rPr>
                      <w:rFonts w:hint="eastAsia" w:hAnsi="宋体" w:cs="仿宋_GB2312"/>
                      <w:color w:val="auto"/>
                      <w:kern w:val="2"/>
                      <w:sz w:val="21"/>
                      <w:szCs w:val="21"/>
                      <w:highlight w:val="none"/>
                    </w:rPr>
                    <w:t>履行合同后，</w:t>
                  </w:r>
                  <w:r>
                    <w:rPr>
                      <w:rFonts w:hint="eastAsia" w:hAnsi="宋体" w:cs="仿宋_GB2312"/>
                      <w:color w:val="auto"/>
                      <w:kern w:val="2"/>
                      <w:sz w:val="21"/>
                      <w:szCs w:val="21"/>
                      <w:highlight w:val="none"/>
                      <w:lang w:eastAsia="zh-CN"/>
                    </w:rPr>
                    <w:t>河涌</w:t>
                  </w:r>
                  <w:r>
                    <w:rPr>
                      <w:rFonts w:hint="eastAsia" w:hAnsi="宋体" w:cs="仿宋_GB2312"/>
                      <w:color w:val="auto"/>
                      <w:kern w:val="2"/>
                      <w:sz w:val="21"/>
                      <w:szCs w:val="21"/>
                      <w:highlight w:val="none"/>
                    </w:rPr>
                    <w:t>环境卫生要保持国家卫生镇标准，全年在市、省和国家卫生评比考核中必须达到国家卫生镇水平，如因</w:t>
                  </w:r>
                  <w:r>
                    <w:rPr>
                      <w:rFonts w:hint="eastAsia" w:hAnsi="宋体" w:cs="仿宋_GB2312"/>
                      <w:color w:val="auto"/>
                      <w:kern w:val="2"/>
                      <w:sz w:val="21"/>
                      <w:szCs w:val="21"/>
                      <w:highlight w:val="none"/>
                      <w:lang w:eastAsia="zh-CN"/>
                    </w:rPr>
                    <w:t>成交供应商</w:t>
                  </w:r>
                  <w:r>
                    <w:rPr>
                      <w:rFonts w:hint="eastAsia" w:hAnsi="宋体" w:cs="仿宋_GB2312"/>
                      <w:color w:val="auto"/>
                      <w:kern w:val="2"/>
                      <w:sz w:val="21"/>
                      <w:szCs w:val="21"/>
                      <w:highlight w:val="none"/>
                    </w:rPr>
                    <w:t>原因造成达不到国家卫生镇考核标准，采购人可对</w:t>
                  </w:r>
                  <w:r>
                    <w:rPr>
                      <w:rFonts w:hint="eastAsia" w:hAnsi="宋体" w:cs="仿宋_GB2312"/>
                      <w:color w:val="auto"/>
                      <w:kern w:val="2"/>
                      <w:sz w:val="21"/>
                      <w:szCs w:val="21"/>
                      <w:highlight w:val="none"/>
                      <w:lang w:eastAsia="zh-CN"/>
                    </w:rPr>
                    <w:t>成交供应商</w:t>
                  </w:r>
                  <w:r>
                    <w:rPr>
                      <w:rFonts w:hint="eastAsia" w:hAnsi="宋体" w:cs="仿宋_GB2312"/>
                      <w:color w:val="auto"/>
                      <w:kern w:val="2"/>
                      <w:sz w:val="21"/>
                      <w:szCs w:val="21"/>
                      <w:highlight w:val="none"/>
                    </w:rPr>
                    <w:t>扣罚</w:t>
                  </w:r>
                  <w:r>
                    <w:rPr>
                      <w:rFonts w:hint="eastAsia" w:hAnsi="宋体" w:cs="仿宋_GB2312"/>
                      <w:color w:val="auto"/>
                      <w:kern w:val="2"/>
                      <w:sz w:val="21"/>
                      <w:szCs w:val="21"/>
                      <w:highlight w:val="none"/>
                      <w:lang w:val="en-US" w:eastAsia="zh-CN"/>
                    </w:rPr>
                    <w:t>50000</w:t>
                  </w:r>
                  <w:r>
                    <w:rPr>
                      <w:rFonts w:hint="eastAsia" w:hAnsi="宋体" w:cs="仿宋_GB2312"/>
                      <w:color w:val="auto"/>
                      <w:kern w:val="2"/>
                      <w:sz w:val="21"/>
                      <w:szCs w:val="21"/>
                      <w:highlight w:val="none"/>
                    </w:rPr>
                    <w:t>元，情况恶劣的给予终止承包合同。</w:t>
                  </w:r>
                  <w:r>
                    <w:rPr>
                      <w:rFonts w:hint="eastAsia" w:hAnsi="宋体" w:cs="仿宋_GB2312"/>
                      <w:color w:val="auto"/>
                      <w:kern w:val="2"/>
                      <w:sz w:val="21"/>
                      <w:szCs w:val="21"/>
                      <w:highlight w:val="none"/>
                      <w:lang w:eastAsia="zh-CN"/>
                    </w:rPr>
                    <w:t>（</w:t>
                  </w:r>
                  <w:r>
                    <w:rPr>
                      <w:rFonts w:hint="eastAsia" w:hAnsi="宋体" w:cs="仿宋_GB2312"/>
                      <w:color w:val="auto"/>
                      <w:kern w:val="2"/>
                      <w:sz w:val="21"/>
                      <w:szCs w:val="21"/>
                      <w:highlight w:val="none"/>
                      <w:lang w:val="en-US" w:eastAsia="zh-CN"/>
                    </w:rPr>
                    <w:t>9</w:t>
                  </w:r>
                  <w:r>
                    <w:rPr>
                      <w:rFonts w:hint="eastAsia" w:hAnsi="宋体" w:cs="仿宋_GB2312"/>
                      <w:color w:val="auto"/>
                      <w:kern w:val="2"/>
                      <w:sz w:val="21"/>
                      <w:szCs w:val="21"/>
                      <w:highlight w:val="none"/>
                      <w:lang w:eastAsia="zh-CN"/>
                    </w:rPr>
                    <w:t>）</w:t>
                  </w:r>
                  <w:r>
                    <w:rPr>
                      <w:rFonts w:hint="eastAsia" w:hAnsi="宋体" w:cs="仿宋_GB2312"/>
                      <w:color w:val="auto"/>
                      <w:kern w:val="2"/>
                      <w:sz w:val="21"/>
                      <w:szCs w:val="21"/>
                      <w:highlight w:val="none"/>
                    </w:rPr>
                    <w:t>如发生提前终止承包合同的情况，双方需提前告知对方，</w:t>
                  </w:r>
                  <w:r>
                    <w:rPr>
                      <w:rFonts w:hint="eastAsia" w:hAnsi="宋体" w:cs="仿宋_GB2312"/>
                      <w:color w:val="auto"/>
                      <w:kern w:val="2"/>
                      <w:sz w:val="21"/>
                      <w:szCs w:val="21"/>
                      <w:highlight w:val="none"/>
                      <w:lang w:eastAsia="zh-CN"/>
                    </w:rPr>
                    <w:t>成交供应商</w:t>
                  </w:r>
                  <w:r>
                    <w:rPr>
                      <w:rFonts w:hint="eastAsia" w:hAnsi="宋体" w:cs="仿宋_GB2312"/>
                      <w:color w:val="auto"/>
                      <w:kern w:val="2"/>
                      <w:sz w:val="21"/>
                      <w:szCs w:val="21"/>
                      <w:highlight w:val="none"/>
                    </w:rPr>
                    <w:t>需持续服务至新</w:t>
                  </w:r>
                  <w:r>
                    <w:rPr>
                      <w:rFonts w:hint="eastAsia" w:hAnsi="宋体" w:cs="仿宋_GB2312"/>
                      <w:color w:val="auto"/>
                      <w:kern w:val="2"/>
                      <w:sz w:val="21"/>
                      <w:szCs w:val="21"/>
                      <w:highlight w:val="none"/>
                      <w:lang w:eastAsia="zh-CN"/>
                    </w:rPr>
                    <w:t>成交供应商</w:t>
                  </w:r>
                  <w:r>
                    <w:rPr>
                      <w:rFonts w:hint="eastAsia" w:hAnsi="宋体" w:cs="仿宋_GB2312"/>
                      <w:color w:val="auto"/>
                      <w:kern w:val="2"/>
                      <w:sz w:val="21"/>
                      <w:szCs w:val="21"/>
                      <w:highlight w:val="none"/>
                    </w:rPr>
                    <w:t>产生并交接后方可终止合同。</w:t>
                  </w:r>
                </w:p>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highlight w:val="none"/>
                      <w:lang w:eastAsia="zh-CN"/>
                    </w:rPr>
                  </w:pPr>
                </w:p>
              </w:tc>
            </w:tr>
            <w:tr>
              <w:tblPrEx>
                <w:tblCellMar>
                  <w:top w:w="0" w:type="dxa"/>
                  <w:left w:w="108" w:type="dxa"/>
                  <w:bottom w:w="0" w:type="dxa"/>
                  <w:right w:w="108" w:type="dxa"/>
                </w:tblCellMar>
              </w:tblPrEx>
              <w:trPr>
                <w:trHeight w:val="559" w:hRule="atLeast"/>
              </w:trPr>
              <w:tc>
                <w:tcPr>
                  <w:tcW w:w="3409" w:type="pct"/>
                  <w:gridSpan w:val="5"/>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color w:val="auto"/>
                      <w:kern w:val="2"/>
                      <w:sz w:val="21"/>
                      <w:szCs w:val="21"/>
                    </w:rPr>
                  </w:pPr>
                </w:p>
                <w:p>
                  <w:pPr>
                    <w:keepNext w:val="0"/>
                    <w:keepLines w:val="0"/>
                    <w:widowControl/>
                    <w:suppressLineNumbers w:val="0"/>
                    <w:spacing w:before="0" w:beforeAutospacing="0" w:after="0" w:afterAutospacing="0"/>
                    <w:ind w:left="0" w:right="0"/>
                    <w:rPr>
                      <w:rFonts w:hint="eastAsia" w:ascii="宋体" w:hAnsi="宋体" w:eastAsia="宋体" w:cs="宋体"/>
                      <w:b/>
                      <w:bCs/>
                      <w:color w:val="auto"/>
                      <w:kern w:val="2"/>
                      <w:sz w:val="21"/>
                      <w:szCs w:val="21"/>
                    </w:rPr>
                  </w:pPr>
                  <w:r>
                    <w:rPr>
                      <w:rFonts w:hint="eastAsia" w:ascii="宋体" w:hAnsi="宋体" w:eastAsia="宋体" w:cs="宋体"/>
                      <w:b w:val="0"/>
                      <w:bCs w:val="0"/>
                      <w:color w:val="auto"/>
                      <w:kern w:val="2"/>
                      <w:sz w:val="21"/>
                      <w:szCs w:val="21"/>
                    </w:rPr>
                    <w:t>本验评标准由</w:t>
                  </w:r>
                  <w:r>
                    <w:rPr>
                      <w:rFonts w:hint="eastAsia" w:ascii="宋体" w:hAnsi="宋体" w:eastAsia="宋体" w:cs="宋体"/>
                      <w:b w:val="0"/>
                      <w:bCs w:val="0"/>
                      <w:color w:val="auto"/>
                      <w:kern w:val="2"/>
                      <w:sz w:val="21"/>
                      <w:szCs w:val="21"/>
                      <w:lang w:val="en-US" w:eastAsia="zh-CN"/>
                    </w:rPr>
                    <w:t>中山市南朗街道水务事务中心</w:t>
                  </w:r>
                  <w:r>
                    <w:rPr>
                      <w:rFonts w:hint="eastAsia" w:ascii="宋体" w:hAnsi="宋体" w:eastAsia="宋体" w:cs="宋体"/>
                      <w:b w:val="0"/>
                      <w:bCs w:val="0"/>
                      <w:color w:val="auto"/>
                      <w:kern w:val="2"/>
                      <w:sz w:val="21"/>
                      <w:szCs w:val="21"/>
                    </w:rPr>
                    <w:t>负责解释</w:t>
                  </w:r>
                  <w:r>
                    <w:rPr>
                      <w:rFonts w:hint="eastAsia" w:ascii="宋体" w:hAnsi="宋体" w:eastAsia="宋体" w:cs="宋体"/>
                      <w:b/>
                      <w:bCs/>
                      <w:color w:val="auto"/>
                      <w:kern w:val="2"/>
                      <w:sz w:val="21"/>
                      <w:szCs w:val="21"/>
                    </w:rPr>
                    <w:t>。</w:t>
                  </w:r>
                </w:p>
              </w:tc>
              <w:tc>
                <w:tcPr>
                  <w:tcW w:w="290" w:type="pct"/>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rPr>
                  </w:pPr>
                </w:p>
              </w:tc>
              <w:tc>
                <w:tcPr>
                  <w:tcW w:w="1300" w:type="pct"/>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rPr>
                  </w:pPr>
                </w:p>
              </w:tc>
            </w:tr>
          </w:tbl>
          <w:p>
            <w:pPr>
              <w:pStyle w:val="8"/>
              <w:jc w:val="left"/>
              <w:rPr>
                <w:rFonts w:hint="eastAsia" w:ascii="宋体" w:hAnsi="宋体" w:eastAsia="宋体" w:cs="宋体"/>
                <w:color w:val="auto"/>
                <w:sz w:val="21"/>
                <w:szCs w:val="21"/>
              </w:rPr>
            </w:pPr>
          </w:p>
          <w:tbl>
            <w:tblPr>
              <w:tblStyle w:val="5"/>
              <w:tblW w:w="7540" w:type="dxa"/>
              <w:tblInd w:w="93" w:type="dxa"/>
              <w:tblLayout w:type="fixed"/>
              <w:tblCellMar>
                <w:top w:w="0" w:type="dxa"/>
                <w:left w:w="108" w:type="dxa"/>
                <w:bottom w:w="0" w:type="dxa"/>
                <w:right w:w="108" w:type="dxa"/>
              </w:tblCellMar>
            </w:tblPr>
            <w:tblGrid>
              <w:gridCol w:w="598"/>
              <w:gridCol w:w="1154"/>
              <w:gridCol w:w="856"/>
              <w:gridCol w:w="1570"/>
              <w:gridCol w:w="1784"/>
              <w:gridCol w:w="1578"/>
            </w:tblGrid>
            <w:tr>
              <w:tblPrEx>
                <w:tblCellMar>
                  <w:top w:w="0" w:type="dxa"/>
                  <w:left w:w="108" w:type="dxa"/>
                  <w:bottom w:w="0" w:type="dxa"/>
                  <w:right w:w="108" w:type="dxa"/>
                </w:tblCellMar>
              </w:tblPrEx>
              <w:trPr>
                <w:trHeight w:val="634" w:hRule="atLeast"/>
              </w:trPr>
              <w:tc>
                <w:tcPr>
                  <w:tcW w:w="7540" w:type="dxa"/>
                  <w:gridSpan w:val="6"/>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b/>
                      <w:color w:val="auto"/>
                      <w:kern w:val="2"/>
                      <w:szCs w:val="21"/>
                    </w:rPr>
                  </w:pPr>
                  <w:r>
                    <w:rPr>
                      <w:rFonts w:hint="eastAsia" w:ascii="宋体" w:hAnsi="宋体"/>
                      <w:b/>
                      <w:color w:val="auto"/>
                      <w:kern w:val="2"/>
                      <w:szCs w:val="21"/>
                    </w:rPr>
                    <w:t>附件</w:t>
                  </w:r>
                  <w:r>
                    <w:rPr>
                      <w:rFonts w:hint="eastAsia" w:ascii="宋体" w:hAnsi="宋体"/>
                      <w:b/>
                      <w:color w:val="auto"/>
                      <w:kern w:val="2"/>
                      <w:szCs w:val="21"/>
                      <w:lang w:val="en-US" w:eastAsia="zh-CN"/>
                    </w:rPr>
                    <w:t>3</w:t>
                  </w:r>
                  <w:r>
                    <w:rPr>
                      <w:rFonts w:hint="eastAsia" w:ascii="宋体" w:hAnsi="宋体"/>
                      <w:b/>
                      <w:color w:val="auto"/>
                      <w:kern w:val="2"/>
                      <w:szCs w:val="21"/>
                    </w:rPr>
                    <w:t>：　　　　　　　　　　　　　　　　　　　　</w:t>
                  </w:r>
                </w:p>
                <w:p>
                  <w:pPr>
                    <w:keepNext w:val="0"/>
                    <w:keepLines w:val="0"/>
                    <w:widowControl/>
                    <w:suppressLineNumbers w:val="0"/>
                    <w:spacing w:before="0" w:beforeAutospacing="0" w:after="0" w:afterAutospacing="0"/>
                    <w:ind w:left="0" w:right="0"/>
                    <w:jc w:val="center"/>
                    <w:rPr>
                      <w:rFonts w:ascii="宋体" w:hAnsi="宋体" w:cs="宋体"/>
                      <w:bCs/>
                      <w:color w:val="auto"/>
                      <w:kern w:val="2"/>
                      <w:szCs w:val="21"/>
                    </w:rPr>
                  </w:pPr>
                  <w:r>
                    <w:rPr>
                      <w:rFonts w:hint="eastAsia"/>
                      <w:bCs/>
                      <w:color w:val="auto"/>
                      <w:kern w:val="2"/>
                      <w:szCs w:val="22"/>
                    </w:rPr>
                    <w:t>河涌河面保洁</w:t>
                  </w:r>
                  <w:r>
                    <w:rPr>
                      <w:rFonts w:hint="eastAsia" w:ascii="宋体" w:hAnsi="宋体"/>
                      <w:color w:val="auto"/>
                      <w:kern w:val="2"/>
                      <w:szCs w:val="21"/>
                    </w:rPr>
                    <w:t>设施设备清单及要求</w:t>
                  </w:r>
                </w:p>
              </w:tc>
            </w:tr>
            <w:tr>
              <w:tblPrEx>
                <w:tblCellMar>
                  <w:top w:w="0" w:type="dxa"/>
                  <w:left w:w="108" w:type="dxa"/>
                  <w:bottom w:w="0" w:type="dxa"/>
                  <w:right w:w="108" w:type="dxa"/>
                </w:tblCellMar>
              </w:tblPrEx>
              <w:trPr>
                <w:trHeight w:val="613"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序号</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设备名称</w:t>
                  </w: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数量</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技术参数和要求</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rPr>
                  </w:pPr>
                  <w:r>
                    <w:rPr>
                      <w:rFonts w:hint="eastAsia" w:ascii="宋体" w:hAnsi="宋体" w:cs="宋体"/>
                      <w:b/>
                      <w:color w:val="auto"/>
                      <w:kern w:val="2"/>
                      <w:szCs w:val="21"/>
                    </w:rPr>
                    <w:t>要求</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b/>
                      <w:color w:val="auto"/>
                      <w:kern w:val="2"/>
                      <w:szCs w:val="21"/>
                    </w:rPr>
                  </w:pPr>
                  <w:r>
                    <w:rPr>
                      <w:rFonts w:hint="eastAsia" w:ascii="宋体" w:hAnsi="宋体" w:cs="宋体"/>
                      <w:b/>
                      <w:color w:val="auto"/>
                      <w:kern w:val="2"/>
                      <w:szCs w:val="21"/>
                    </w:rPr>
                    <w:t>备注</w:t>
                  </w:r>
                </w:p>
              </w:tc>
            </w:tr>
            <w:tr>
              <w:tblPrEx>
                <w:tblCellMar>
                  <w:top w:w="0" w:type="dxa"/>
                  <w:left w:w="108" w:type="dxa"/>
                  <w:bottom w:w="0" w:type="dxa"/>
                  <w:right w:w="108" w:type="dxa"/>
                </w:tblCellMar>
              </w:tblPrEx>
              <w:trPr>
                <w:trHeight w:val="112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rPr>
                  </w:pPr>
                  <w:r>
                    <w:rPr>
                      <w:rFonts w:hint="eastAsia" w:ascii="宋体" w:hAnsi="宋体" w:cs="宋体"/>
                      <w:color w:val="auto"/>
                      <w:kern w:val="2"/>
                      <w:szCs w:val="21"/>
                    </w:rPr>
                    <w:t>1</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color w:val="auto"/>
                      <w:kern w:val="2"/>
                      <w:szCs w:val="21"/>
                    </w:rPr>
                  </w:pPr>
                  <w:r>
                    <w:rPr>
                      <w:rFonts w:hint="eastAsia" w:ascii="宋体" w:hAnsi="宋体" w:cs="宋体"/>
                      <w:color w:val="auto"/>
                      <w:szCs w:val="21"/>
                      <w:highlight w:val="none"/>
                    </w:rPr>
                    <w:t>垃圾打捞作业船</w:t>
                  </w: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cs="宋体"/>
                      <w:color w:val="auto"/>
                      <w:kern w:val="2"/>
                      <w:szCs w:val="21"/>
                    </w:rPr>
                  </w:pPr>
                  <w:r>
                    <w:rPr>
                      <w:rFonts w:hint="eastAsia" w:ascii="宋体" w:hAnsi="宋体" w:cs="宋体"/>
                      <w:color w:val="auto"/>
                      <w:kern w:val="2"/>
                      <w:szCs w:val="21"/>
                      <w:lang w:val="en-US" w:eastAsia="zh-CN"/>
                    </w:rPr>
                    <w:t>4</w:t>
                  </w:r>
                  <w:r>
                    <w:rPr>
                      <w:rFonts w:hint="eastAsia" w:ascii="宋体" w:hAnsi="宋体" w:cs="宋体"/>
                      <w:color w:val="auto"/>
                      <w:kern w:val="2"/>
                      <w:szCs w:val="21"/>
                    </w:rPr>
                    <w:t>只</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2"/>
                      <w:szCs w:val="21"/>
                    </w:rPr>
                  </w:pPr>
                  <w:r>
                    <w:rPr>
                      <w:rFonts w:hint="eastAsia" w:ascii="宋体" w:hAnsi="宋体" w:cs="宋体"/>
                      <w:color w:val="auto"/>
                      <w:szCs w:val="21"/>
                      <w:highlight w:val="none"/>
                    </w:rPr>
                    <w:t>小型人力艇</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只</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载重不小于1.5T</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用于河面清捞垃圾</w:t>
                  </w:r>
                </w:p>
              </w:tc>
            </w:tr>
            <w:tr>
              <w:tblPrEx>
                <w:tblCellMar>
                  <w:top w:w="0" w:type="dxa"/>
                  <w:left w:w="108" w:type="dxa"/>
                  <w:bottom w:w="0" w:type="dxa"/>
                  <w:right w:w="108" w:type="dxa"/>
                </w:tblCellMar>
              </w:tblPrEx>
              <w:trPr>
                <w:trHeight w:val="104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eastAsiaTheme="minorEastAsia"/>
                      <w:color w:val="auto"/>
                      <w:lang w:val="en-US" w:eastAsia="zh-CN"/>
                    </w:rPr>
                  </w:pPr>
                  <w:r>
                    <w:rPr>
                      <w:rFonts w:hint="eastAsia"/>
                      <w:color w:val="auto"/>
                      <w:lang w:val="en-US" w:eastAsia="zh-CN"/>
                    </w:rPr>
                    <w:t>2</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垃圾打捞作业船</w:t>
                  </w: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kern w:val="2"/>
                      <w:szCs w:val="21"/>
                      <w:lang w:val="en-US" w:eastAsia="zh-CN"/>
                    </w:rPr>
                    <w:t>2</w:t>
                  </w:r>
                  <w:r>
                    <w:rPr>
                      <w:rFonts w:hint="eastAsia" w:ascii="宋体" w:hAnsi="宋体" w:cs="宋体"/>
                      <w:color w:val="auto"/>
                      <w:kern w:val="2"/>
                      <w:szCs w:val="21"/>
                    </w:rPr>
                    <w:t>只</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机动铁艇2只</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载重不小于5T机动铁艇</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用于河面清捞垃圾和转运人力艇垃圾</w:t>
                  </w:r>
                </w:p>
              </w:tc>
            </w:tr>
            <w:tr>
              <w:tblPrEx>
                <w:tblCellMar>
                  <w:top w:w="0" w:type="dxa"/>
                  <w:left w:w="108" w:type="dxa"/>
                  <w:bottom w:w="0" w:type="dxa"/>
                  <w:right w:w="108" w:type="dxa"/>
                </w:tblCellMar>
              </w:tblPrEx>
              <w:trPr>
                <w:trHeight w:val="793"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2"/>
                      <w:szCs w:val="21"/>
                      <w:lang w:val="en-US" w:eastAsia="zh-CN"/>
                    </w:rPr>
                  </w:pPr>
                  <w:r>
                    <w:rPr>
                      <w:rFonts w:hint="eastAsia" w:ascii="宋体" w:hAnsi="宋体" w:cs="宋体"/>
                      <w:color w:val="auto"/>
                      <w:kern w:val="2"/>
                      <w:szCs w:val="21"/>
                      <w:lang w:val="en-US" w:eastAsia="zh-CN"/>
                    </w:rPr>
                    <w:t>3</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专用垃圾中转车</w:t>
                  </w:r>
                </w:p>
              </w:tc>
              <w:tc>
                <w:tcPr>
                  <w:tcW w:w="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台</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2"/>
                      <w:szCs w:val="21"/>
                    </w:rPr>
                  </w:pPr>
                  <w:r>
                    <w:rPr>
                      <w:rFonts w:hint="eastAsia" w:ascii="宋体" w:hAnsi="宋体" w:cs="宋体"/>
                      <w:color w:val="auto"/>
                      <w:szCs w:val="21"/>
                      <w:highlight w:val="none"/>
                    </w:rPr>
                    <w:t>4轮机动车辆</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2"/>
                      <w:szCs w:val="21"/>
                    </w:rPr>
                  </w:pPr>
                  <w:r>
                    <w:rPr>
                      <w:rFonts w:hint="eastAsia" w:ascii="宋体" w:hAnsi="宋体" w:cs="宋体"/>
                      <w:color w:val="auto"/>
                      <w:szCs w:val="21"/>
                      <w:highlight w:val="none"/>
                    </w:rPr>
                    <w:t>载重不小于3T</w:t>
                  </w:r>
                </w:p>
              </w:tc>
              <w:tc>
                <w:tcPr>
                  <w:tcW w:w="1578"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cs="宋体"/>
                      <w:color w:val="auto"/>
                      <w:kern w:val="2"/>
                      <w:szCs w:val="21"/>
                    </w:rPr>
                  </w:pPr>
                </w:p>
              </w:tc>
            </w:tr>
            <w:tr>
              <w:tblPrEx>
                <w:tblCellMar>
                  <w:top w:w="0" w:type="dxa"/>
                  <w:left w:w="108" w:type="dxa"/>
                  <w:bottom w:w="0" w:type="dxa"/>
                  <w:right w:w="108" w:type="dxa"/>
                </w:tblCellMar>
              </w:tblPrEx>
              <w:trPr>
                <w:trHeight w:val="743"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2"/>
                      <w:szCs w:val="21"/>
                      <w:lang w:val="en-US" w:eastAsia="zh-CN"/>
                    </w:rPr>
                  </w:pPr>
                  <w:r>
                    <w:rPr>
                      <w:rFonts w:hint="eastAsia" w:ascii="宋体" w:hAnsi="宋体" w:cs="宋体"/>
                      <w:color w:val="auto"/>
                      <w:kern w:val="2"/>
                      <w:szCs w:val="21"/>
                      <w:lang w:val="en-US" w:eastAsia="zh-CN"/>
                    </w:rPr>
                    <w:t>4</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河面打捞垃圾工具</w:t>
                  </w:r>
                </w:p>
              </w:tc>
              <w:tc>
                <w:tcPr>
                  <w:tcW w:w="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Cs w:val="21"/>
                    </w:rPr>
                  </w:pPr>
                  <w:r>
                    <w:rPr>
                      <w:rFonts w:hint="eastAsia" w:ascii="宋体" w:hAnsi="宋体" w:cs="宋体"/>
                      <w:color w:val="auto"/>
                      <w:szCs w:val="21"/>
                      <w:highlight w:val="none"/>
                    </w:rPr>
                    <w:t>1批</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2"/>
                      <w:szCs w:val="21"/>
                    </w:rPr>
                  </w:pPr>
                  <w:r>
                    <w:rPr>
                      <w:rFonts w:hint="eastAsia" w:ascii="宋体" w:hAnsi="宋体" w:cs="宋体"/>
                      <w:color w:val="auto"/>
                      <w:szCs w:val="21"/>
                      <w:highlight w:val="none"/>
                    </w:rPr>
                    <w:t>根据作业实际配置</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2"/>
                      <w:szCs w:val="21"/>
                    </w:rPr>
                  </w:pPr>
                </w:p>
              </w:tc>
              <w:tc>
                <w:tcPr>
                  <w:tcW w:w="1578"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宋体" w:hAnsi="宋体" w:cs="宋体"/>
                      <w:color w:val="auto"/>
                      <w:kern w:val="2"/>
                      <w:szCs w:val="21"/>
                    </w:rPr>
                  </w:pPr>
                </w:p>
              </w:tc>
            </w:tr>
            <w:tr>
              <w:tblPrEx>
                <w:tblCellMar>
                  <w:top w:w="0" w:type="dxa"/>
                  <w:left w:w="108" w:type="dxa"/>
                  <w:bottom w:w="0" w:type="dxa"/>
                  <w:right w:w="108" w:type="dxa"/>
                </w:tblCellMar>
              </w:tblPrEx>
              <w:trPr>
                <w:trHeight w:val="846"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2"/>
                      <w:szCs w:val="21"/>
                      <w:lang w:eastAsia="zh-CN"/>
                    </w:rPr>
                  </w:pPr>
                  <w:r>
                    <w:rPr>
                      <w:rFonts w:hint="eastAsia" w:ascii="宋体" w:hAnsi="宋体" w:cs="宋体"/>
                      <w:color w:val="auto"/>
                      <w:kern w:val="2"/>
                      <w:szCs w:val="21"/>
                      <w:lang w:val="en-US" w:eastAsia="zh-CN"/>
                    </w:rPr>
                    <w:t>5</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Cs w:val="21"/>
                    </w:rPr>
                  </w:pPr>
                  <w:r>
                    <w:rPr>
                      <w:rFonts w:hint="eastAsia" w:ascii="宋体" w:hAnsi="宋体" w:cs="宋体"/>
                      <w:color w:val="auto"/>
                      <w:szCs w:val="21"/>
                      <w:highlight w:val="none"/>
                    </w:rPr>
                    <w:t>救生衣（圈）</w:t>
                  </w:r>
                </w:p>
              </w:tc>
              <w:tc>
                <w:tcPr>
                  <w:tcW w:w="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Cs w:val="21"/>
                    </w:rPr>
                  </w:pPr>
                  <w:r>
                    <w:rPr>
                      <w:rFonts w:hint="eastAsia" w:ascii="宋体" w:hAnsi="宋体" w:cs="宋体"/>
                      <w:color w:val="auto"/>
                      <w:szCs w:val="21"/>
                      <w:highlight w:val="none"/>
                    </w:rPr>
                    <w:t>1批</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2"/>
                      <w:szCs w:val="21"/>
                    </w:rPr>
                  </w:pPr>
                  <w:r>
                    <w:rPr>
                      <w:rFonts w:hint="eastAsia" w:ascii="宋体" w:hAnsi="宋体" w:cs="宋体"/>
                      <w:color w:val="auto"/>
                      <w:szCs w:val="21"/>
                      <w:highlight w:val="none"/>
                    </w:rPr>
                    <w:t>符合救生要求</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Cs w:val="21"/>
                    </w:rPr>
                  </w:pPr>
                  <w:r>
                    <w:rPr>
                      <w:rFonts w:hint="eastAsia" w:ascii="宋体" w:hAnsi="宋体" w:cs="宋体"/>
                      <w:color w:val="auto"/>
                      <w:szCs w:val="21"/>
                      <w:highlight w:val="none"/>
                    </w:rPr>
                    <w:t>水上作业人员每个人必须配备</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rPr>
                  </w:pPr>
                </w:p>
              </w:tc>
            </w:tr>
            <w:tr>
              <w:tblPrEx>
                <w:tblCellMar>
                  <w:top w:w="0" w:type="dxa"/>
                  <w:left w:w="108" w:type="dxa"/>
                  <w:bottom w:w="0" w:type="dxa"/>
                  <w:right w:w="108" w:type="dxa"/>
                </w:tblCellMar>
              </w:tblPrEx>
              <w:trPr>
                <w:trHeight w:val="1273" w:hRule="atLeast"/>
              </w:trPr>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both"/>
                    <w:rPr>
                      <w:rFonts w:hint="eastAsia" w:ascii="宋体" w:hAnsi="宋体" w:cs="宋体" w:eastAsiaTheme="minorEastAsia"/>
                      <w:color w:val="auto"/>
                      <w:kern w:val="2"/>
                      <w:szCs w:val="21"/>
                      <w:lang w:eastAsia="zh-CN"/>
                    </w:rPr>
                  </w:pPr>
                  <w:r>
                    <w:rPr>
                      <w:rFonts w:hint="eastAsia" w:ascii="宋体" w:hAnsi="宋体" w:cs="宋体"/>
                      <w:color w:val="auto"/>
                      <w:kern w:val="2"/>
                      <w:szCs w:val="21"/>
                      <w:lang w:val="en-US" w:eastAsia="zh-CN"/>
                    </w:rPr>
                    <w:t>说明</w:t>
                  </w:r>
                </w:p>
              </w:tc>
              <w:tc>
                <w:tcPr>
                  <w:tcW w:w="694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rPr>
                      <w:rFonts w:ascii="宋体" w:hAnsi="宋体" w:cs="宋体"/>
                      <w:b/>
                      <w:color w:val="auto"/>
                      <w:kern w:val="2"/>
                      <w:szCs w:val="21"/>
                    </w:rPr>
                  </w:pPr>
                  <w:r>
                    <w:rPr>
                      <w:rFonts w:hint="eastAsia" w:ascii="宋体" w:hAnsi="宋体" w:cs="宋体"/>
                      <w:color w:val="auto"/>
                      <w:szCs w:val="21"/>
                      <w:highlight w:val="none"/>
                    </w:rPr>
                    <w:t>以上设施设备是完成河面保洁作业的基本要求，</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应根据工作实际情况随时增置设施设备，保证满足河面保洁需要和质量验评标准。所有机动艇都应具有船舶检验证书，人力艇配备消防器材。</w:t>
                  </w:r>
                </w:p>
              </w:tc>
            </w:tr>
          </w:tbl>
          <w:p>
            <w:pPr>
              <w:pStyle w:val="7"/>
              <w:keepNext w:val="0"/>
              <w:keepLines w:val="0"/>
              <w:pageBreakBefore w:val="0"/>
              <w:kinsoku/>
              <w:wordWrap/>
              <w:overflowPunct/>
              <w:topLinePunct w:val="0"/>
              <w:autoSpaceDE/>
              <w:autoSpaceDN/>
              <w:bidi w:val="0"/>
              <w:adjustRightInd/>
              <w:snapToGrid/>
              <w:spacing w:line="360" w:lineRule="auto"/>
              <w:jc w:val="both"/>
              <w:textAlignment w:val="auto"/>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4" w:hRule="atLeast"/>
        </w:trPr>
        <w:tc>
          <w:tcPr>
            <w:tcW w:w="767" w:type="dxa"/>
          </w:tcPr>
          <w:p>
            <w:pPr>
              <w:pStyle w:val="7"/>
              <w:keepNext w:val="0"/>
              <w:keepLines w:val="0"/>
              <w:pageBreakBefore w:val="0"/>
              <w:kinsoku/>
              <w:wordWrap/>
              <w:overflowPunct/>
              <w:topLinePunct w:val="0"/>
              <w:autoSpaceDE/>
              <w:autoSpaceDN/>
              <w:bidi w:val="0"/>
              <w:adjustRightInd/>
              <w:snapToGrid/>
              <w:spacing w:line="360" w:lineRule="auto"/>
              <w:textAlignment w:val="auto"/>
              <w:rPr>
                <w:color w:val="auto"/>
              </w:rPr>
            </w:pPr>
            <w:r>
              <w:rPr>
                <w:color w:val="auto"/>
              </w:rPr>
              <w:t>说明</w:t>
            </w:r>
          </w:p>
        </w:tc>
        <w:tc>
          <w:tcPr>
            <w:tcW w:w="8872" w:type="dxa"/>
            <w:gridSpan w:val="2"/>
          </w:tcPr>
          <w:p>
            <w:pPr>
              <w:pStyle w:val="7"/>
              <w:keepNext w:val="0"/>
              <w:keepLines w:val="0"/>
              <w:pageBreakBefore w:val="0"/>
              <w:kinsoku/>
              <w:wordWrap/>
              <w:overflowPunct/>
              <w:topLinePunct w:val="0"/>
              <w:autoSpaceDE/>
              <w:autoSpaceDN/>
              <w:bidi w:val="0"/>
              <w:adjustRightInd/>
              <w:snapToGrid/>
              <w:spacing w:line="360" w:lineRule="auto"/>
              <w:jc w:val="left"/>
              <w:textAlignment w:val="auto"/>
              <w:rPr>
                <w:color w:val="auto"/>
              </w:rPr>
            </w:pPr>
            <w:r>
              <w:rPr>
                <w:color w:val="auto"/>
              </w:rPr>
              <w:t>打“★”号条款为实质性条款，若有任何一条负偏离或不满足则导致投标无效。</w:t>
            </w:r>
            <w:r>
              <w:rPr>
                <w:color w:val="auto"/>
              </w:rPr>
              <w:br w:type="textWrapping"/>
            </w:r>
            <w:r>
              <w:rPr>
                <w:color w:val="auto"/>
              </w:rPr>
              <w:t>打“▲”号条款为重要技术参数，若有部分“▲”条款未响应或不满足，将导致其响应性评审加重扣分，但不作为无效投标条款。</w:t>
            </w:r>
          </w:p>
        </w:tc>
      </w:tr>
    </w:tbl>
    <w:p>
      <w:pPr>
        <w:pStyle w:val="7"/>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44299"/>
    <w:multiLevelType w:val="multilevel"/>
    <w:tmpl w:val="0544429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D201B6"/>
    <w:multiLevelType w:val="singleLevel"/>
    <w:tmpl w:val="19D201B6"/>
    <w:lvl w:ilvl="0" w:tentative="0">
      <w:start w:val="4"/>
      <w:numFmt w:val="chineseCounting"/>
      <w:suff w:val="nothing"/>
      <w:lvlText w:val="%1、"/>
      <w:lvlJc w:val="left"/>
      <w:pPr>
        <w:ind w:left="-480"/>
      </w:pPr>
      <w:rPr>
        <w:rFonts w:hint="eastAsia"/>
      </w:rPr>
    </w:lvl>
  </w:abstractNum>
  <w:abstractNum w:abstractNumId="2">
    <w:nsid w:val="2474F088"/>
    <w:multiLevelType w:val="singleLevel"/>
    <w:tmpl w:val="2474F088"/>
    <w:lvl w:ilvl="0" w:tentative="0">
      <w:start w:val="2"/>
      <w:numFmt w:val="chineseCounting"/>
      <w:suff w:val="nothing"/>
      <w:lvlText w:val="（%1）"/>
      <w:lvlJc w:val="left"/>
      <w:rPr>
        <w:rFonts w:hint="eastAsia"/>
      </w:rPr>
    </w:lvl>
  </w:abstractNum>
  <w:abstractNum w:abstractNumId="3">
    <w:nsid w:val="5873785C"/>
    <w:multiLevelType w:val="multilevel"/>
    <w:tmpl w:val="5873785C"/>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D3921AF"/>
    <w:multiLevelType w:val="multilevel"/>
    <w:tmpl w:val="5D3921A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D3921BA"/>
    <w:multiLevelType w:val="multilevel"/>
    <w:tmpl w:val="5D3921B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D3921C5"/>
    <w:multiLevelType w:val="multilevel"/>
    <w:tmpl w:val="5D3921C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D3921D0"/>
    <w:multiLevelType w:val="multilevel"/>
    <w:tmpl w:val="5D3921D0"/>
    <w:lvl w:ilvl="0" w:tentative="0">
      <w:start w:val="1"/>
      <w:numFmt w:val="decimal"/>
      <w:lvlText w:val="%1."/>
      <w:lvlJc w:val="left"/>
      <w:pPr>
        <w:tabs>
          <w:tab w:val="left" w:pos="360"/>
        </w:tabs>
        <w:ind w:left="360" w:hanging="360"/>
      </w:pPr>
      <w:rPr>
        <w:rFonts w:hAnsi="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5"/>
    <w:lvlOverride w:ilvl="0">
      <w:startOverride w:val="1"/>
    </w:lvlOverride>
  </w:num>
  <w:num w:numId="7">
    <w:abstractNumId w:val="6"/>
    <w:lvlOverride w:ilvl="0">
      <w:startOverride w:val="1"/>
    </w:lvlOverride>
  </w:num>
  <w:num w:numId="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jdhMjQ2Y2JmMDZlNmZiYTllNzJjMGM2NGYyODkifQ=="/>
  </w:docVars>
  <w:rsids>
    <w:rsidRoot w:val="2FA2242C"/>
    <w:rsid w:val="2FA2242C"/>
    <w:rsid w:val="7CFD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after="120"/>
    </w:pPr>
    <w:rPr>
      <w:rFonts w:ascii="Times New Roman" w:hAnsi="Times New Roman" w:cs="Times New Roman"/>
      <w:kern w:val="0"/>
      <w:sz w:val="24"/>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null3"/>
    <w:autoRedefine/>
    <w:hidden/>
    <w:qFormat/>
    <w:uiPriority w:val="0"/>
    <w:rPr>
      <w:rFonts w:hint="eastAsia" w:asciiTheme="minorHAnsi" w:hAnsiTheme="minorHAnsi" w:eastAsiaTheme="minorEastAsia" w:cstheme="minorBidi"/>
      <w:lang w:val="en-US" w:eastAsia="zh-Hans"/>
    </w:rPr>
  </w:style>
  <w:style w:type="paragraph" w:customStyle="1" w:styleId="8">
    <w:name w:val="样式1"/>
    <w:basedOn w:val="1"/>
    <w:autoRedefine/>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2024-04-09T03:14:00Z</dcterms:created>
  <dc:creator>珊</dc:creator>
  <cp:lastModifiedBy>珊</cp:lastModifiedBy>
  <dcterms:modified xsi:type="dcterms:W3CDTF">2024-04-09T07:02:55Z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9A08AE36B1B646388CCEC5A2BA5C695E_11</vt:lpwstr>
  </property>
</Properties>
</file>